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A0059">
      <w:pPr>
        <w:jc w:val="left"/>
        <w:rPr>
          <w:rFonts w:hint="eastAsia"/>
          <w:b/>
          <w:bCs/>
          <w:sz w:val="28"/>
          <w:szCs w:val="28"/>
          <w:lang w:val="en-US" w:eastAsia="zh-CN"/>
        </w:rPr>
      </w:pPr>
      <w:r>
        <w:rPr>
          <w:rFonts w:hint="eastAsia"/>
          <w:b/>
          <w:bCs/>
          <w:sz w:val="28"/>
          <w:szCs w:val="28"/>
          <w:lang w:eastAsia="zh-CN"/>
        </w:rPr>
        <w:t>附件</w:t>
      </w:r>
      <w:r>
        <w:rPr>
          <w:rFonts w:hint="eastAsia"/>
          <w:b/>
          <w:bCs/>
          <w:sz w:val="28"/>
          <w:szCs w:val="28"/>
          <w:lang w:val="en-US" w:eastAsia="zh-CN"/>
        </w:rPr>
        <w:t>1</w:t>
      </w:r>
    </w:p>
    <w:p w14:paraId="7528F4D0">
      <w:pPr>
        <w:jc w:val="center"/>
        <w:rPr>
          <w:b/>
          <w:bCs/>
          <w:sz w:val="28"/>
          <w:szCs w:val="28"/>
        </w:rPr>
      </w:pPr>
      <w:r>
        <w:rPr>
          <w:rFonts w:hint="eastAsia"/>
          <w:b/>
          <w:bCs/>
          <w:sz w:val="28"/>
          <w:szCs w:val="28"/>
        </w:rPr>
        <w:t>一、</w:t>
      </w:r>
      <w:r>
        <w:rPr>
          <w:b/>
          <w:bCs/>
          <w:sz w:val="28"/>
          <w:szCs w:val="28"/>
        </w:rPr>
        <w:t>计算资源改造与扩容</w:t>
      </w:r>
      <w:r>
        <w:rPr>
          <w:rFonts w:hint="eastAsia"/>
          <w:b/>
          <w:bCs/>
          <w:sz w:val="28"/>
          <w:szCs w:val="28"/>
          <w:lang w:eastAsia="zh-CN"/>
        </w:rPr>
        <w:t>服务项目采</w:t>
      </w:r>
      <w:bookmarkStart w:id="2" w:name="_GoBack"/>
      <w:bookmarkEnd w:id="2"/>
      <w:r>
        <w:rPr>
          <w:rFonts w:hint="eastAsia"/>
          <w:b/>
          <w:bCs/>
          <w:sz w:val="28"/>
          <w:szCs w:val="28"/>
          <w:lang w:eastAsia="zh-CN"/>
        </w:rPr>
        <w:t>购</w:t>
      </w:r>
      <w:r>
        <w:rPr>
          <w:rFonts w:hint="eastAsia"/>
          <w:b/>
          <w:bCs/>
          <w:sz w:val="28"/>
          <w:szCs w:val="28"/>
        </w:rPr>
        <w:t>需求参数</w:t>
      </w:r>
    </w:p>
    <w:tbl>
      <w:tblPr>
        <w:tblStyle w:val="4"/>
        <w:tblpPr w:leftFromText="180" w:rightFromText="180" w:vertAnchor="text" w:horzAnchor="page" w:tblpX="1551" w:tblpY="747"/>
        <w:tblOverlap w:val="never"/>
        <w:tblW w:w="138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310"/>
        <w:gridCol w:w="708"/>
        <w:gridCol w:w="851"/>
        <w:gridCol w:w="9038"/>
        <w:gridCol w:w="1168"/>
      </w:tblGrid>
      <w:tr w14:paraId="0CE2A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817" w:type="dxa"/>
            <w:vAlign w:val="center"/>
          </w:tcPr>
          <w:p w14:paraId="3F44BAC9">
            <w:pPr>
              <w:spacing w:before="156" w:after="156" w:line="360" w:lineRule="auto"/>
              <w:rPr>
                <w:rFonts w:hint="eastAsia" w:asciiTheme="minorEastAsia" w:hAnsiTheme="minorEastAsia"/>
                <w:szCs w:val="21"/>
              </w:rPr>
            </w:pPr>
            <w:bookmarkStart w:id="0" w:name="OLE_LINK2"/>
            <w:r>
              <w:rPr>
                <w:rFonts w:hint="eastAsia" w:asciiTheme="minorEastAsia" w:hAnsiTheme="minorEastAsia"/>
                <w:szCs w:val="21"/>
              </w:rPr>
              <w:t>序号</w:t>
            </w:r>
          </w:p>
        </w:tc>
        <w:tc>
          <w:tcPr>
            <w:tcW w:w="1310" w:type="dxa"/>
            <w:vAlign w:val="center"/>
          </w:tcPr>
          <w:p w14:paraId="4ABE8829">
            <w:pPr>
              <w:spacing w:before="156" w:after="156" w:line="360" w:lineRule="auto"/>
              <w:rPr>
                <w:rFonts w:hint="eastAsia" w:asciiTheme="minorEastAsia" w:hAnsiTheme="minorEastAsia"/>
                <w:szCs w:val="21"/>
              </w:rPr>
            </w:pPr>
            <w:r>
              <w:rPr>
                <w:rFonts w:hint="eastAsia" w:asciiTheme="minorEastAsia" w:hAnsiTheme="minorEastAsia"/>
                <w:szCs w:val="21"/>
              </w:rPr>
              <w:t>标的名称</w:t>
            </w:r>
          </w:p>
        </w:tc>
        <w:tc>
          <w:tcPr>
            <w:tcW w:w="708" w:type="dxa"/>
            <w:vAlign w:val="center"/>
          </w:tcPr>
          <w:p w14:paraId="0A7A7041">
            <w:pPr>
              <w:spacing w:before="156" w:after="156" w:line="360" w:lineRule="auto"/>
              <w:rPr>
                <w:rFonts w:hint="eastAsia" w:asciiTheme="minorEastAsia" w:hAnsiTheme="minorEastAsia"/>
                <w:szCs w:val="21"/>
              </w:rPr>
            </w:pPr>
            <w:r>
              <w:rPr>
                <w:rFonts w:hint="eastAsia" w:asciiTheme="minorEastAsia" w:hAnsiTheme="minorEastAsia"/>
                <w:szCs w:val="21"/>
              </w:rPr>
              <w:t>数量</w:t>
            </w:r>
          </w:p>
        </w:tc>
        <w:tc>
          <w:tcPr>
            <w:tcW w:w="851" w:type="dxa"/>
            <w:vAlign w:val="center"/>
          </w:tcPr>
          <w:p w14:paraId="16311B8C">
            <w:pPr>
              <w:spacing w:before="156" w:after="156" w:line="360" w:lineRule="auto"/>
              <w:jc w:val="center"/>
              <w:rPr>
                <w:rFonts w:hint="eastAsia" w:asciiTheme="minorEastAsia" w:hAnsiTheme="minorEastAsia"/>
                <w:szCs w:val="21"/>
              </w:rPr>
            </w:pPr>
            <w:r>
              <w:rPr>
                <w:rFonts w:hint="eastAsia" w:asciiTheme="minorEastAsia" w:hAnsiTheme="minorEastAsia"/>
                <w:szCs w:val="21"/>
              </w:rPr>
              <w:t>单位</w:t>
            </w:r>
          </w:p>
        </w:tc>
        <w:tc>
          <w:tcPr>
            <w:tcW w:w="9038" w:type="dxa"/>
            <w:vAlign w:val="center"/>
          </w:tcPr>
          <w:p w14:paraId="74FA8A98">
            <w:pPr>
              <w:spacing w:before="156" w:after="156" w:line="360" w:lineRule="auto"/>
              <w:jc w:val="center"/>
              <w:rPr>
                <w:rFonts w:hint="eastAsia" w:asciiTheme="minorEastAsia" w:hAnsiTheme="minorEastAsia"/>
                <w:szCs w:val="21"/>
              </w:rPr>
            </w:pPr>
            <w:r>
              <w:rPr>
                <w:rFonts w:hint="eastAsia" w:asciiTheme="minorEastAsia" w:hAnsiTheme="minorEastAsia"/>
                <w:szCs w:val="21"/>
              </w:rPr>
              <w:t>技术参数</w:t>
            </w:r>
          </w:p>
        </w:tc>
        <w:tc>
          <w:tcPr>
            <w:tcW w:w="1168" w:type="dxa"/>
            <w:vAlign w:val="center"/>
          </w:tcPr>
          <w:p w14:paraId="4AA3E706">
            <w:pPr>
              <w:spacing w:before="156" w:after="156" w:line="360" w:lineRule="auto"/>
              <w:jc w:val="center"/>
              <w:rPr>
                <w:rFonts w:hint="eastAsia" w:asciiTheme="minorEastAsia" w:hAnsiTheme="minorEastAsia"/>
                <w:szCs w:val="21"/>
              </w:rPr>
            </w:pPr>
            <w:r>
              <w:rPr>
                <w:rFonts w:hint="eastAsia" w:asciiTheme="minorEastAsia" w:hAnsiTheme="minorEastAsia"/>
                <w:szCs w:val="21"/>
              </w:rPr>
              <w:t>备注</w:t>
            </w:r>
          </w:p>
        </w:tc>
      </w:tr>
      <w:tr w14:paraId="31B18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817" w:type="dxa"/>
            <w:vAlign w:val="center"/>
          </w:tcPr>
          <w:p w14:paraId="6EA5320A">
            <w:pPr>
              <w:spacing w:before="156" w:after="156" w:line="360" w:lineRule="auto"/>
              <w:rPr>
                <w:rFonts w:hint="eastAsia" w:asciiTheme="minorEastAsia" w:hAnsiTheme="minorEastAsia"/>
                <w:szCs w:val="21"/>
              </w:rPr>
            </w:pPr>
            <w:r>
              <w:rPr>
                <w:rFonts w:hint="eastAsia" w:asciiTheme="minorEastAsia" w:hAnsiTheme="minorEastAsia"/>
                <w:szCs w:val="21"/>
              </w:rPr>
              <w:t>1</w:t>
            </w:r>
          </w:p>
        </w:tc>
        <w:tc>
          <w:tcPr>
            <w:tcW w:w="1310" w:type="dxa"/>
            <w:vAlign w:val="center"/>
          </w:tcPr>
          <w:p w14:paraId="527D8E1C">
            <w:pPr>
              <w:spacing w:before="156" w:after="156" w:line="360" w:lineRule="auto"/>
              <w:jc w:val="center"/>
              <w:rPr>
                <w:rFonts w:hint="eastAsia" w:asciiTheme="minorEastAsia" w:hAnsiTheme="minorEastAsia"/>
                <w:szCs w:val="21"/>
              </w:rPr>
            </w:pPr>
            <w:r>
              <w:rPr>
                <w:rFonts w:hint="eastAsia" w:asciiTheme="minorEastAsia" w:hAnsiTheme="minorEastAsia"/>
                <w:color w:val="000000"/>
                <w:szCs w:val="21"/>
              </w:rPr>
              <w:t>服务器</w:t>
            </w:r>
          </w:p>
        </w:tc>
        <w:tc>
          <w:tcPr>
            <w:tcW w:w="708" w:type="dxa"/>
            <w:vAlign w:val="center"/>
          </w:tcPr>
          <w:p w14:paraId="35C1B857">
            <w:pPr>
              <w:widowControl/>
              <w:spacing w:line="360" w:lineRule="auto"/>
              <w:jc w:val="center"/>
              <w:rPr>
                <w:rFonts w:hint="eastAsia" w:asciiTheme="minorEastAsia" w:hAnsiTheme="minorEastAsia"/>
                <w:szCs w:val="21"/>
              </w:rPr>
            </w:pPr>
            <w:r>
              <w:rPr>
                <w:rFonts w:hint="eastAsia" w:asciiTheme="minorEastAsia" w:hAnsiTheme="minorEastAsia"/>
                <w:szCs w:val="21"/>
              </w:rPr>
              <w:t>2</w:t>
            </w:r>
          </w:p>
        </w:tc>
        <w:tc>
          <w:tcPr>
            <w:tcW w:w="851" w:type="dxa"/>
            <w:vAlign w:val="center"/>
          </w:tcPr>
          <w:p w14:paraId="63C9B839">
            <w:pPr>
              <w:widowControl/>
              <w:spacing w:line="360" w:lineRule="auto"/>
              <w:jc w:val="left"/>
              <w:rPr>
                <w:rFonts w:hint="eastAsia" w:asciiTheme="minorEastAsia" w:hAnsiTheme="minorEastAsia"/>
                <w:b/>
                <w:szCs w:val="21"/>
              </w:rPr>
            </w:pPr>
            <w:r>
              <w:rPr>
                <w:rFonts w:hint="eastAsia" w:asciiTheme="minorEastAsia" w:hAnsiTheme="minorEastAsia"/>
                <w:szCs w:val="21"/>
              </w:rPr>
              <w:t>台</w:t>
            </w:r>
          </w:p>
        </w:tc>
        <w:tc>
          <w:tcPr>
            <w:tcW w:w="9038" w:type="dxa"/>
            <w:vAlign w:val="center"/>
          </w:tcPr>
          <w:p w14:paraId="29B58FF0">
            <w:pPr>
              <w:spacing w:line="360" w:lineRule="auto"/>
              <w:rPr>
                <w:rFonts w:hint="eastAsia" w:asciiTheme="minorEastAsia" w:hAnsiTheme="minorEastAsia"/>
                <w:szCs w:val="21"/>
              </w:rPr>
            </w:pPr>
            <w:r>
              <w:rPr>
                <w:rFonts w:hint="eastAsia" w:asciiTheme="minorEastAsia" w:hAnsiTheme="minorEastAsia"/>
                <w:color w:val="000000"/>
                <w:szCs w:val="21"/>
              </w:rPr>
              <w:t>2个7390H处理器，单颗处理器32核，主频2.7GHz，512GB DDR4内存，2个1.92TB固态硬盘，1个RAID卡，2个千兆，4个万兆光口含模块，2个双口16Gb FC HBA卡，冗余电源模块。</w:t>
            </w:r>
          </w:p>
        </w:tc>
        <w:tc>
          <w:tcPr>
            <w:tcW w:w="1168" w:type="dxa"/>
            <w:vAlign w:val="center"/>
          </w:tcPr>
          <w:p w14:paraId="355FA7B4">
            <w:pPr>
              <w:spacing w:before="156" w:after="156" w:line="360" w:lineRule="auto"/>
              <w:ind w:firstLine="174" w:firstLineChars="83"/>
              <w:rPr>
                <w:rFonts w:hint="eastAsia" w:asciiTheme="minorEastAsia" w:hAnsiTheme="minorEastAsia"/>
                <w:szCs w:val="21"/>
              </w:rPr>
            </w:pPr>
          </w:p>
        </w:tc>
      </w:tr>
      <w:tr w14:paraId="2BD1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817" w:type="dxa"/>
            <w:vAlign w:val="center"/>
          </w:tcPr>
          <w:p w14:paraId="5CDB057E">
            <w:pPr>
              <w:spacing w:before="156" w:after="156" w:line="360" w:lineRule="auto"/>
              <w:rPr>
                <w:rFonts w:hint="eastAsia" w:asciiTheme="minorEastAsia" w:hAnsiTheme="minorEastAsia"/>
                <w:szCs w:val="21"/>
              </w:rPr>
            </w:pPr>
            <w:r>
              <w:rPr>
                <w:rFonts w:hint="eastAsia" w:asciiTheme="minorEastAsia" w:hAnsiTheme="minorEastAsia"/>
                <w:szCs w:val="21"/>
              </w:rPr>
              <w:t>2</w:t>
            </w:r>
          </w:p>
        </w:tc>
        <w:tc>
          <w:tcPr>
            <w:tcW w:w="1310" w:type="dxa"/>
            <w:vAlign w:val="center"/>
          </w:tcPr>
          <w:p w14:paraId="596E8A10">
            <w:pPr>
              <w:spacing w:before="156" w:after="156" w:line="360" w:lineRule="auto"/>
              <w:jc w:val="center"/>
              <w:rPr>
                <w:rFonts w:hint="eastAsia" w:asciiTheme="minorEastAsia" w:hAnsiTheme="minorEastAsia"/>
                <w:szCs w:val="21"/>
              </w:rPr>
            </w:pPr>
            <w:r>
              <w:rPr>
                <w:rFonts w:hint="eastAsia" w:asciiTheme="minorEastAsia" w:hAnsiTheme="minorEastAsia"/>
                <w:color w:val="000000"/>
                <w:szCs w:val="21"/>
              </w:rPr>
              <w:t>存储光纤交换机</w:t>
            </w:r>
          </w:p>
        </w:tc>
        <w:tc>
          <w:tcPr>
            <w:tcW w:w="708" w:type="dxa"/>
            <w:vAlign w:val="center"/>
          </w:tcPr>
          <w:p w14:paraId="00B3791C">
            <w:pPr>
              <w:widowControl/>
              <w:spacing w:line="360" w:lineRule="auto"/>
              <w:jc w:val="center"/>
              <w:rPr>
                <w:rFonts w:hint="eastAsia" w:asciiTheme="minorEastAsia" w:hAnsiTheme="minorEastAsia"/>
                <w:szCs w:val="21"/>
              </w:rPr>
            </w:pPr>
            <w:r>
              <w:rPr>
                <w:rFonts w:hint="eastAsia" w:asciiTheme="minorEastAsia" w:hAnsiTheme="minorEastAsia"/>
                <w:szCs w:val="21"/>
              </w:rPr>
              <w:t>2</w:t>
            </w:r>
          </w:p>
        </w:tc>
        <w:tc>
          <w:tcPr>
            <w:tcW w:w="851" w:type="dxa"/>
            <w:vAlign w:val="center"/>
          </w:tcPr>
          <w:p w14:paraId="0039CCDD">
            <w:pPr>
              <w:widowControl/>
              <w:spacing w:line="360" w:lineRule="auto"/>
              <w:jc w:val="left"/>
              <w:rPr>
                <w:rFonts w:hint="eastAsia" w:asciiTheme="minorEastAsia" w:hAnsiTheme="minorEastAsia"/>
                <w:szCs w:val="21"/>
              </w:rPr>
            </w:pPr>
            <w:r>
              <w:rPr>
                <w:rFonts w:hint="eastAsia" w:asciiTheme="minorEastAsia" w:hAnsiTheme="minorEastAsia"/>
                <w:szCs w:val="21"/>
              </w:rPr>
              <w:t>台</w:t>
            </w:r>
          </w:p>
        </w:tc>
        <w:tc>
          <w:tcPr>
            <w:tcW w:w="9038" w:type="dxa"/>
            <w:vAlign w:val="center"/>
          </w:tcPr>
          <w:p w14:paraId="4474FBC6">
            <w:pPr>
              <w:spacing w:line="360" w:lineRule="auto"/>
              <w:rPr>
                <w:rFonts w:hint="eastAsia" w:asciiTheme="minorEastAsia" w:hAnsiTheme="minorEastAsia"/>
                <w:szCs w:val="21"/>
              </w:rPr>
            </w:pPr>
            <w:r>
              <w:rPr>
                <w:rFonts w:hint="eastAsia" w:asciiTheme="minorEastAsia" w:hAnsiTheme="minorEastAsia"/>
                <w:color w:val="000000"/>
                <w:szCs w:val="21"/>
              </w:rPr>
              <w:t>24个32Gbps端口；本次激活24端口（配置24个32Gb 多模模块）；基于交换机类型的自我发现(U_Port)；支持2 Gbps、4 Gbps 、8 Gbps和16 Gbps 端口速率自适应；基于帧的链路聚合，运用Fabric OS中所包括的DPS，实现基于交换的跨ISL负载平衡；对交换机内可配置的聚合链路集没有数量限制。单电源，机架套件，1年维保服务；</w:t>
            </w:r>
          </w:p>
        </w:tc>
        <w:tc>
          <w:tcPr>
            <w:tcW w:w="1168" w:type="dxa"/>
            <w:vAlign w:val="center"/>
          </w:tcPr>
          <w:p w14:paraId="56EBB6D3">
            <w:pPr>
              <w:spacing w:before="156" w:after="156" w:line="360" w:lineRule="auto"/>
              <w:ind w:firstLine="174" w:firstLineChars="83"/>
              <w:rPr>
                <w:rFonts w:hint="eastAsia" w:asciiTheme="minorEastAsia" w:hAnsiTheme="minorEastAsia"/>
                <w:szCs w:val="21"/>
              </w:rPr>
            </w:pPr>
          </w:p>
        </w:tc>
      </w:tr>
      <w:tr w14:paraId="12AC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817" w:type="dxa"/>
            <w:vAlign w:val="center"/>
          </w:tcPr>
          <w:p w14:paraId="50547DE8">
            <w:pPr>
              <w:spacing w:before="156" w:after="156" w:line="360" w:lineRule="auto"/>
              <w:rPr>
                <w:rFonts w:hint="eastAsia" w:asciiTheme="minorEastAsia" w:hAnsiTheme="minorEastAsia"/>
                <w:szCs w:val="21"/>
              </w:rPr>
            </w:pPr>
            <w:r>
              <w:rPr>
                <w:rFonts w:hint="eastAsia" w:asciiTheme="minorEastAsia" w:hAnsiTheme="minorEastAsia"/>
                <w:szCs w:val="21"/>
              </w:rPr>
              <w:t>3</w:t>
            </w:r>
          </w:p>
        </w:tc>
        <w:tc>
          <w:tcPr>
            <w:tcW w:w="1310" w:type="dxa"/>
            <w:vAlign w:val="center"/>
          </w:tcPr>
          <w:p w14:paraId="546F0339">
            <w:pPr>
              <w:spacing w:before="156" w:after="156" w:line="360" w:lineRule="auto"/>
              <w:jc w:val="center"/>
              <w:rPr>
                <w:rFonts w:hint="eastAsia" w:asciiTheme="minorEastAsia" w:hAnsiTheme="minorEastAsia"/>
                <w:szCs w:val="21"/>
              </w:rPr>
            </w:pPr>
            <w:r>
              <w:rPr>
                <w:rFonts w:hint="eastAsia" w:asciiTheme="minorEastAsia" w:hAnsiTheme="minorEastAsia"/>
                <w:color w:val="000000"/>
                <w:szCs w:val="21"/>
              </w:rPr>
              <w:t>全闪存储系统</w:t>
            </w:r>
          </w:p>
        </w:tc>
        <w:tc>
          <w:tcPr>
            <w:tcW w:w="708" w:type="dxa"/>
            <w:vAlign w:val="center"/>
          </w:tcPr>
          <w:p w14:paraId="41DB88A9">
            <w:pPr>
              <w:widowControl/>
              <w:spacing w:line="360" w:lineRule="auto"/>
              <w:jc w:val="center"/>
              <w:rPr>
                <w:rFonts w:hint="eastAsia" w:asciiTheme="minorEastAsia" w:hAnsiTheme="minorEastAsia"/>
                <w:szCs w:val="21"/>
              </w:rPr>
            </w:pPr>
            <w:r>
              <w:rPr>
                <w:rFonts w:hint="eastAsia" w:asciiTheme="minorEastAsia" w:hAnsiTheme="minorEastAsia"/>
                <w:szCs w:val="21"/>
              </w:rPr>
              <w:t>1</w:t>
            </w:r>
          </w:p>
        </w:tc>
        <w:tc>
          <w:tcPr>
            <w:tcW w:w="851" w:type="dxa"/>
            <w:vAlign w:val="center"/>
          </w:tcPr>
          <w:p w14:paraId="1E1684E7">
            <w:pPr>
              <w:widowControl/>
              <w:spacing w:line="360" w:lineRule="auto"/>
              <w:jc w:val="left"/>
              <w:rPr>
                <w:rFonts w:hint="eastAsia" w:asciiTheme="minorEastAsia" w:hAnsiTheme="minorEastAsia"/>
                <w:szCs w:val="21"/>
              </w:rPr>
            </w:pPr>
            <w:r>
              <w:rPr>
                <w:rFonts w:hint="eastAsia" w:asciiTheme="minorEastAsia" w:hAnsiTheme="minorEastAsia"/>
                <w:szCs w:val="21"/>
              </w:rPr>
              <w:t>台</w:t>
            </w:r>
          </w:p>
        </w:tc>
        <w:tc>
          <w:tcPr>
            <w:tcW w:w="9038" w:type="dxa"/>
            <w:vAlign w:val="center"/>
          </w:tcPr>
          <w:p w14:paraId="1DE828E2">
            <w:pPr>
              <w:pStyle w:val="6"/>
              <w:framePr w:hSpace="0" w:wrap="auto" w:vAnchor="margin" w:hAnchor="text" w:xAlign="left" w:yAlign="inline"/>
              <w:rPr>
                <w:rFonts w:hint="eastAsia" w:asciiTheme="minorEastAsia" w:hAnsiTheme="minorEastAsia" w:eastAsiaTheme="minorEastAsia"/>
                <w:szCs w:val="21"/>
              </w:rPr>
            </w:pPr>
            <w:r>
              <w:rPr>
                <w:rFonts w:asciiTheme="minorEastAsia" w:hAnsiTheme="minorEastAsia" w:eastAsiaTheme="minorEastAsia"/>
                <w:szCs w:val="21"/>
              </w:rPr>
              <w:t>★投标</w:t>
            </w:r>
            <w:r>
              <w:rPr>
                <w:rFonts w:hint="eastAsia" w:asciiTheme="minorEastAsia" w:hAnsiTheme="minorEastAsia" w:eastAsiaTheme="minorEastAsia"/>
                <w:szCs w:val="21"/>
              </w:rPr>
              <w:t>产品为国产自主可控产品，</w:t>
            </w:r>
            <w:r>
              <w:rPr>
                <w:rFonts w:asciiTheme="minorEastAsia" w:hAnsiTheme="minorEastAsia" w:eastAsiaTheme="minorEastAsia"/>
                <w:szCs w:val="21"/>
              </w:rPr>
              <w:t>符合GB42250-2022《信息安全技术网络安全专用产品安全技术要求》，提供《网络关键设备和网络安全专用产品安全认证证书》</w:t>
            </w:r>
            <w:r>
              <w:rPr>
                <w:rFonts w:hint="eastAsia" w:asciiTheme="minorEastAsia" w:hAnsiTheme="minorEastAsia" w:eastAsiaTheme="minorEastAsia"/>
                <w:szCs w:val="21"/>
              </w:rPr>
              <w:t>或中央网信办（CAC）官网查询截图</w:t>
            </w:r>
            <w:r>
              <w:rPr>
                <w:rFonts w:asciiTheme="minorEastAsia" w:hAnsiTheme="minorEastAsia" w:eastAsiaTheme="minorEastAsia"/>
                <w:szCs w:val="21"/>
              </w:rPr>
              <w:t>；</w:t>
            </w:r>
          </w:p>
          <w:p w14:paraId="1DAA87A2">
            <w:pPr>
              <w:pStyle w:val="6"/>
              <w:framePr w:hSpace="0" w:wrap="auto" w:vAnchor="margin" w:hAnchor="text" w:xAlign="left" w:yAlign="inline"/>
              <w:rPr>
                <w:rFonts w:hint="eastAsia" w:asciiTheme="minorEastAsia" w:hAnsiTheme="minorEastAsia" w:eastAsiaTheme="minorEastAsia"/>
                <w:szCs w:val="21"/>
              </w:rPr>
            </w:pPr>
            <w:r>
              <w:rPr>
                <w:rFonts w:cs="Segoe UI Symbol" w:asciiTheme="minorEastAsia" w:hAnsiTheme="minorEastAsia" w:eastAsiaTheme="minorEastAsia"/>
                <w:szCs w:val="21"/>
              </w:rPr>
              <w:t>★</w:t>
            </w:r>
            <w:r>
              <w:rPr>
                <w:rFonts w:asciiTheme="minorEastAsia" w:hAnsiTheme="minorEastAsia" w:eastAsiaTheme="minorEastAsia"/>
                <w:szCs w:val="21"/>
              </w:rPr>
              <w:t>采用多控（所有控制器）高速互联架构，最大可扩展至≥32个控制器，控制器互联协议采用PCI-E/IB/RDMA等协议，非FC、IP联邦；</w:t>
            </w:r>
          </w:p>
          <w:p w14:paraId="20E230E2">
            <w:pPr>
              <w:pStyle w:val="6"/>
              <w:framePr w:hSpace="0" w:wrap="auto" w:vAnchor="margin" w:hAnchor="text" w:xAlign="left" w:yAlign="inline"/>
              <w:rPr>
                <w:rFonts w:hint="eastAsia" w:asciiTheme="minorEastAsia" w:hAnsiTheme="minorEastAsia" w:eastAsiaTheme="minorEastAsia"/>
                <w:szCs w:val="21"/>
              </w:rPr>
            </w:pPr>
            <w:r>
              <w:rPr>
                <w:rFonts w:cs="Segoe UI Symbol" w:asciiTheme="minorEastAsia" w:hAnsiTheme="minorEastAsia" w:eastAsiaTheme="minorEastAsia"/>
                <w:szCs w:val="21"/>
              </w:rPr>
              <w:t>★</w:t>
            </w:r>
            <w:r>
              <w:rPr>
                <w:rFonts w:hint="eastAsia" w:asciiTheme="minorEastAsia" w:hAnsiTheme="minorEastAsia" w:eastAsiaTheme="minorEastAsia"/>
                <w:szCs w:val="21"/>
              </w:rPr>
              <w:t>多控制器高端盘控分离架构，SAN控制器机框中不含硬盘插槽，控制器配置国产C86架构处理器，本次配置≥2个控制器。</w:t>
            </w:r>
          </w:p>
          <w:p w14:paraId="6FA99A1D">
            <w:pPr>
              <w:pStyle w:val="6"/>
              <w:framePr w:hSpace="0" w:wrap="auto" w:vAnchor="margin" w:hAnchor="text" w:xAlign="left" w:yAlign="inline"/>
              <w:rPr>
                <w:rFonts w:hint="eastAsia" w:asciiTheme="minorEastAsia" w:hAnsiTheme="minorEastAsia" w:eastAsiaTheme="minorEastAsia"/>
                <w:szCs w:val="21"/>
              </w:rPr>
            </w:pPr>
            <w:r>
              <w:rPr>
                <w:rFonts w:asciiTheme="minorEastAsia" w:hAnsiTheme="minorEastAsia" w:eastAsiaTheme="minorEastAsia"/>
                <w:szCs w:val="21"/>
              </w:rPr>
              <w:t>控制器采用 Active-Active 架构，实现单LUN业务均衡负载到所有控制器；（提供与生产企业无关联且具备CNAS(中国合格评定国家认可委员会)资质的三方权威评测机构签字盖章的测试报告）</w:t>
            </w:r>
          </w:p>
          <w:p w14:paraId="06FEA511">
            <w:pPr>
              <w:pStyle w:val="6"/>
              <w:framePr w:hSpace="0" w:wrap="auto" w:vAnchor="margin" w:hAnchor="text" w:xAlign="left" w:yAlign="inline"/>
              <w:rPr>
                <w:rFonts w:hint="eastAsia" w:asciiTheme="minorEastAsia" w:hAnsiTheme="minorEastAsia" w:eastAsiaTheme="minorEastAsia"/>
                <w:szCs w:val="21"/>
              </w:rPr>
            </w:pPr>
            <w:r>
              <w:rPr>
                <w:rFonts w:asciiTheme="minorEastAsia" w:hAnsiTheme="minorEastAsia" w:eastAsiaTheme="minorEastAsia"/>
                <w:szCs w:val="21"/>
              </w:rPr>
              <w:t>支持FC、iSCSI、NVMe over FC、NVMe over RoCE四种接入方式；（提供官网截图或软件界面截图）</w:t>
            </w:r>
          </w:p>
          <w:p w14:paraId="4C7076B3">
            <w:pPr>
              <w:pStyle w:val="6"/>
              <w:framePr w:hSpace="0" w:wrap="auto" w:vAnchor="margin" w:hAnchor="text" w:xAlign="left" w:yAlign="inline"/>
              <w:rPr>
                <w:rFonts w:hint="eastAsia" w:asciiTheme="minorEastAsia" w:hAnsiTheme="minorEastAsia" w:eastAsiaTheme="minorEastAsia"/>
                <w:szCs w:val="21"/>
              </w:rPr>
            </w:pPr>
            <w:r>
              <w:rPr>
                <w:rFonts w:cs="Segoe UI Symbol" w:asciiTheme="minorEastAsia" w:hAnsiTheme="minorEastAsia" w:eastAsiaTheme="minorEastAsia"/>
                <w:szCs w:val="21"/>
              </w:rPr>
              <w:t>★</w:t>
            </w:r>
            <w:r>
              <w:rPr>
                <w:rFonts w:asciiTheme="minorEastAsia" w:hAnsiTheme="minorEastAsia" w:eastAsiaTheme="minorEastAsia"/>
                <w:szCs w:val="21"/>
              </w:rPr>
              <w:t>配置</w:t>
            </w:r>
            <w:r>
              <w:rPr>
                <w:rFonts w:hint="eastAsia" w:asciiTheme="minorEastAsia" w:hAnsiTheme="minorEastAsia" w:eastAsiaTheme="minorEastAsia"/>
                <w:szCs w:val="21"/>
              </w:rPr>
              <w:t>16</w:t>
            </w:r>
            <w:r>
              <w:rPr>
                <w:rFonts w:asciiTheme="minorEastAsia" w:hAnsiTheme="minorEastAsia" w:eastAsiaTheme="minorEastAsia"/>
                <w:szCs w:val="21"/>
              </w:rPr>
              <w:t>Gb FC主机接口≥</w:t>
            </w:r>
            <w:r>
              <w:rPr>
                <w:rFonts w:hint="eastAsia" w:asciiTheme="minorEastAsia" w:hAnsiTheme="minorEastAsia" w:eastAsiaTheme="minorEastAsia"/>
                <w:szCs w:val="21"/>
              </w:rPr>
              <w:t>16</w:t>
            </w:r>
            <w:r>
              <w:rPr>
                <w:rFonts w:asciiTheme="minorEastAsia" w:hAnsiTheme="minorEastAsia" w:eastAsiaTheme="minorEastAsia"/>
                <w:szCs w:val="21"/>
              </w:rPr>
              <w:t>个，双控最大支持主机接口数≥9</w:t>
            </w:r>
            <w:r>
              <w:rPr>
                <w:rFonts w:hint="eastAsia" w:asciiTheme="minorEastAsia" w:hAnsiTheme="minorEastAsia" w:eastAsiaTheme="minorEastAsia"/>
                <w:szCs w:val="21"/>
              </w:rPr>
              <w:t>6；</w:t>
            </w:r>
          </w:p>
          <w:p w14:paraId="72841DAE">
            <w:pPr>
              <w:pStyle w:val="6"/>
              <w:framePr w:hSpace="0" w:wrap="auto" w:vAnchor="margin" w:hAnchor="text" w:xAlign="left" w:yAlign="inline"/>
              <w:rPr>
                <w:rFonts w:hint="eastAsia" w:asciiTheme="minorEastAsia" w:hAnsiTheme="minorEastAsia" w:eastAsiaTheme="minorEastAsia"/>
                <w:szCs w:val="21"/>
              </w:rPr>
            </w:pPr>
            <w:r>
              <w:rPr>
                <w:rFonts w:cs="Segoe UI Symbol" w:asciiTheme="minorEastAsia" w:hAnsiTheme="minorEastAsia" w:eastAsiaTheme="minorEastAsia"/>
                <w:szCs w:val="21"/>
              </w:rPr>
              <w:t>★</w:t>
            </w:r>
            <w:r>
              <w:rPr>
                <w:rFonts w:asciiTheme="minorEastAsia" w:hAnsiTheme="minorEastAsia" w:eastAsiaTheme="minorEastAsia"/>
                <w:szCs w:val="21"/>
              </w:rPr>
              <w:t>双控配置一级缓存≥</w:t>
            </w:r>
            <w:r>
              <w:rPr>
                <w:rFonts w:hint="eastAsia" w:asciiTheme="minorEastAsia" w:hAnsiTheme="minorEastAsia" w:eastAsiaTheme="minorEastAsia"/>
                <w:szCs w:val="21"/>
              </w:rPr>
              <w:t>512G</w:t>
            </w:r>
            <w:r>
              <w:rPr>
                <w:rFonts w:asciiTheme="minorEastAsia" w:hAnsiTheme="minorEastAsia" w:eastAsiaTheme="minorEastAsia"/>
                <w:szCs w:val="21"/>
              </w:rPr>
              <w:t>B，最大缓存扩展能力≥48TB(缓存不包括SSD盘、闪存、NAS机头的内存等)；</w:t>
            </w:r>
          </w:p>
          <w:p w14:paraId="00BFC3D7">
            <w:pPr>
              <w:pStyle w:val="6"/>
              <w:framePr w:hSpace="0" w:wrap="auto" w:vAnchor="margin" w:hAnchor="text" w:xAlign="left" w:yAlign="inline"/>
              <w:rPr>
                <w:rFonts w:hint="eastAsia" w:asciiTheme="minorEastAsia" w:hAnsiTheme="minorEastAsia" w:eastAsiaTheme="minorEastAsia"/>
                <w:szCs w:val="21"/>
              </w:rPr>
            </w:pPr>
            <w:r>
              <w:rPr>
                <w:rFonts w:cs="Segoe UI Symbol" w:asciiTheme="minorEastAsia" w:hAnsiTheme="minorEastAsia" w:eastAsiaTheme="minorEastAsia"/>
                <w:szCs w:val="21"/>
              </w:rPr>
              <w:t>★</w:t>
            </w:r>
            <w:r>
              <w:rPr>
                <w:rFonts w:asciiTheme="minorEastAsia" w:hAnsiTheme="minorEastAsia" w:eastAsiaTheme="minorEastAsia"/>
                <w:szCs w:val="21"/>
              </w:rPr>
              <w:t>配置1.</w:t>
            </w:r>
            <w:r>
              <w:rPr>
                <w:rFonts w:hint="eastAsia" w:asciiTheme="minorEastAsia" w:hAnsiTheme="minorEastAsia" w:eastAsiaTheme="minorEastAsia"/>
                <w:szCs w:val="21"/>
              </w:rPr>
              <w:t>9</w:t>
            </w:r>
            <w:r>
              <w:rPr>
                <w:rFonts w:asciiTheme="minorEastAsia" w:hAnsiTheme="minorEastAsia" w:eastAsiaTheme="minorEastAsia"/>
                <w:szCs w:val="21"/>
              </w:rPr>
              <w:t xml:space="preserve">2TB </w:t>
            </w:r>
            <w:r>
              <w:rPr>
                <w:rFonts w:hint="eastAsia" w:asciiTheme="minorEastAsia" w:hAnsiTheme="minorEastAsia" w:eastAsiaTheme="minorEastAsia"/>
                <w:szCs w:val="21"/>
              </w:rPr>
              <w:t>NVMe SSD</w:t>
            </w:r>
            <w:r>
              <w:rPr>
                <w:rFonts w:asciiTheme="minorEastAsia" w:hAnsiTheme="minorEastAsia" w:eastAsiaTheme="minorEastAsia"/>
                <w:szCs w:val="21"/>
              </w:rPr>
              <w:t>硬盘≥</w:t>
            </w:r>
            <w:r>
              <w:rPr>
                <w:rFonts w:hint="eastAsia" w:asciiTheme="minorEastAsia" w:hAnsiTheme="minorEastAsia" w:eastAsiaTheme="minorEastAsia"/>
                <w:szCs w:val="21"/>
              </w:rPr>
              <w:t>10</w:t>
            </w:r>
            <w:r>
              <w:rPr>
                <w:rFonts w:asciiTheme="minorEastAsia" w:hAnsiTheme="minorEastAsia" w:eastAsiaTheme="minorEastAsia"/>
                <w:szCs w:val="21"/>
              </w:rPr>
              <w:t>块；系统支持最大硬盘数≥9600块，配置全部容量授权许可，未来扩容任意类型硬盘，不需要再支付相应的授权许可费；</w:t>
            </w:r>
          </w:p>
          <w:p w14:paraId="796E87F9">
            <w:pPr>
              <w:pStyle w:val="6"/>
              <w:framePr w:hSpace="0" w:wrap="auto" w:vAnchor="margin" w:hAnchor="text" w:xAlign="left" w:yAlign="inline"/>
              <w:rPr>
                <w:rFonts w:hint="eastAsia" w:asciiTheme="minorEastAsia" w:hAnsiTheme="minorEastAsia" w:eastAsiaTheme="minorEastAsia"/>
                <w:szCs w:val="21"/>
              </w:rPr>
            </w:pPr>
            <w:r>
              <w:rPr>
                <w:rFonts w:asciiTheme="minorEastAsia" w:hAnsiTheme="minorEastAsia" w:eastAsiaTheme="minorEastAsia"/>
                <w:szCs w:val="21"/>
              </w:rPr>
              <w:t>支持RAID0、1、3、4、5、6、10、50、60等RAID类型，且不同RAID类型可共存，支持热备盘和热备空间，且两种热备方式可共存；</w:t>
            </w:r>
          </w:p>
          <w:p w14:paraId="28C97EDB">
            <w:pPr>
              <w:pStyle w:val="6"/>
              <w:framePr w:hSpace="0" w:wrap="auto" w:vAnchor="margin" w:hAnchor="text" w:xAlign="left" w:yAlign="inline"/>
              <w:rPr>
                <w:rFonts w:hint="eastAsia" w:asciiTheme="minorEastAsia" w:hAnsiTheme="minorEastAsia" w:eastAsiaTheme="minorEastAsia"/>
                <w:szCs w:val="21"/>
              </w:rPr>
            </w:pPr>
            <w:r>
              <w:rPr>
                <w:rFonts w:hint="eastAsia" w:asciiTheme="minorEastAsia" w:hAnsiTheme="minorEastAsia" w:eastAsiaTheme="minorEastAsia"/>
                <w:szCs w:val="21"/>
              </w:rPr>
              <w:t>提供</w:t>
            </w:r>
            <w:r>
              <w:rPr>
                <w:rFonts w:asciiTheme="minorEastAsia" w:hAnsiTheme="minorEastAsia" w:eastAsiaTheme="minorEastAsia"/>
                <w:szCs w:val="21"/>
              </w:rPr>
              <w:t>集中硬盘管理中心，对磁盘运行状态进行实时监测。并根据磁盘监控统计数据，同时支持手动对相应磁盘进行预警、修复或重建；支持硬盘AI检测，根据磁盘统计数据匹配识别指纹，自动决策对相应磁盘进行预警、修复或重建；</w:t>
            </w:r>
          </w:p>
          <w:p w14:paraId="7C88FD45">
            <w:pPr>
              <w:pStyle w:val="6"/>
              <w:framePr w:hSpace="0" w:wrap="auto" w:vAnchor="margin" w:hAnchor="text" w:xAlign="left" w:yAlign="inline"/>
              <w:rPr>
                <w:rFonts w:hint="eastAsia" w:asciiTheme="minorEastAsia" w:hAnsiTheme="minorEastAsia" w:eastAsiaTheme="minorEastAsia"/>
                <w:szCs w:val="21"/>
              </w:rPr>
            </w:pPr>
            <w:r>
              <w:rPr>
                <w:rFonts w:asciiTheme="minorEastAsia" w:hAnsiTheme="minorEastAsia" w:eastAsiaTheme="minorEastAsia"/>
                <w:szCs w:val="21"/>
              </w:rPr>
              <w:t>从主机端口到硬盘全路径支持基于硬件的并符合业界标准的T10-PI数据一致性检测，保障数据的一致性；（提供官网截图</w:t>
            </w:r>
            <w:r>
              <w:rPr>
                <w:rFonts w:hint="eastAsia" w:asciiTheme="minorEastAsia" w:hAnsiTheme="minorEastAsia" w:eastAsiaTheme="minorEastAsia"/>
                <w:szCs w:val="21"/>
              </w:rPr>
              <w:t>或</w:t>
            </w:r>
            <w:r>
              <w:rPr>
                <w:rFonts w:asciiTheme="minorEastAsia" w:hAnsiTheme="minorEastAsia" w:eastAsiaTheme="minorEastAsia"/>
                <w:szCs w:val="21"/>
              </w:rPr>
              <w:t>软件操作界面截图）</w:t>
            </w:r>
          </w:p>
          <w:p w14:paraId="5D61698D">
            <w:pPr>
              <w:pStyle w:val="6"/>
              <w:framePr w:hSpace="0" w:wrap="auto" w:vAnchor="margin" w:hAnchor="text" w:xAlign="left" w:yAlign="inline"/>
              <w:rPr>
                <w:rFonts w:hint="eastAsia" w:asciiTheme="minorEastAsia" w:hAnsiTheme="minorEastAsia" w:eastAsiaTheme="minorEastAsia"/>
                <w:szCs w:val="21"/>
              </w:rPr>
            </w:pPr>
            <w:r>
              <w:rPr>
                <w:rFonts w:cs="Segoe UI Symbol" w:asciiTheme="minorEastAsia" w:hAnsiTheme="minorEastAsia" w:eastAsiaTheme="minorEastAsia"/>
                <w:szCs w:val="21"/>
              </w:rPr>
              <w:t>★</w:t>
            </w:r>
            <w:r>
              <w:rPr>
                <w:rFonts w:asciiTheme="minorEastAsia" w:hAnsiTheme="minorEastAsia" w:eastAsiaTheme="minorEastAsia"/>
                <w:szCs w:val="21"/>
              </w:rPr>
              <w:t>支持单节点存储在线扩容双活，扩容双活过程中业务不中断；（提供与生产企业无关联且具备CNAS(中国合格评定国家认可委员会)资质的第三方权威评测机构签字盖章的测试报告）</w:t>
            </w:r>
          </w:p>
          <w:p w14:paraId="41E5FFC6">
            <w:pPr>
              <w:pStyle w:val="6"/>
              <w:framePr w:hSpace="0" w:wrap="auto" w:vAnchor="margin" w:hAnchor="text" w:xAlign="left" w:yAlign="inline"/>
              <w:rPr>
                <w:rFonts w:hint="eastAsia" w:asciiTheme="minorEastAsia" w:hAnsiTheme="minorEastAsia" w:eastAsiaTheme="minorEastAsia"/>
                <w:szCs w:val="21"/>
              </w:rPr>
            </w:pPr>
            <w:r>
              <w:rPr>
                <w:rFonts w:hint="eastAsia" w:asciiTheme="minorEastAsia" w:hAnsiTheme="minorEastAsia" w:eastAsiaTheme="minorEastAsia"/>
                <w:szCs w:val="21"/>
              </w:rPr>
              <w:t>配置</w:t>
            </w:r>
            <w:r>
              <w:rPr>
                <w:rFonts w:asciiTheme="minorEastAsia" w:hAnsiTheme="minorEastAsia" w:eastAsiaTheme="minorEastAsia"/>
                <w:szCs w:val="21"/>
              </w:rPr>
              <w:t>基于时间点的数据快照功能，有效预防各种软故障的发生，单LUN支持快照数量≥2048个；配置安全快照功能，支持对快照设置保护周期，在保护周期内快照无法删除，无法篡改快照中的数据；（提供软件界面截图）</w:t>
            </w:r>
          </w:p>
          <w:p w14:paraId="44CDF783">
            <w:pPr>
              <w:pStyle w:val="6"/>
              <w:framePr w:hSpace="0" w:wrap="auto" w:vAnchor="margin" w:hAnchor="text" w:xAlign="left" w:yAlign="inline"/>
              <w:rPr>
                <w:rFonts w:hint="eastAsia" w:asciiTheme="minorEastAsia" w:hAnsiTheme="minorEastAsia" w:eastAsiaTheme="minorEastAsia"/>
                <w:szCs w:val="21"/>
              </w:rPr>
            </w:pPr>
            <w:r>
              <w:rPr>
                <w:rFonts w:asciiTheme="minorEastAsia" w:hAnsiTheme="minorEastAsia" w:eastAsiaTheme="minorEastAsia"/>
                <w:szCs w:val="21"/>
              </w:rPr>
              <w:t>支持LUN一致性组功能，LUN一致性组的组快照、组复制可按需绑定；（提供与生产企业无关联且具备CNAS(中国合格评定国家认可委员会)资质的三方权威评测机构签字盖章的测试报告</w:t>
            </w:r>
            <w:r>
              <w:rPr>
                <w:rFonts w:hint="eastAsia" w:asciiTheme="minorEastAsia" w:hAnsiTheme="minorEastAsia" w:eastAsiaTheme="minorEastAsia"/>
                <w:szCs w:val="21"/>
              </w:rPr>
              <w:t>、操作界面截图证明材料或官网截图</w:t>
            </w:r>
            <w:r>
              <w:rPr>
                <w:rFonts w:asciiTheme="minorEastAsia" w:hAnsiTheme="minorEastAsia" w:eastAsiaTheme="minorEastAsia"/>
                <w:szCs w:val="21"/>
              </w:rPr>
              <w:t>）</w:t>
            </w:r>
          </w:p>
          <w:p w14:paraId="2DAA757F">
            <w:pPr>
              <w:pStyle w:val="6"/>
              <w:framePr w:hSpace="0" w:wrap="auto" w:vAnchor="margin" w:hAnchor="text" w:xAlign="left" w:yAlign="inline"/>
              <w:rPr>
                <w:rFonts w:hint="eastAsia" w:asciiTheme="minorEastAsia" w:hAnsiTheme="minorEastAsia" w:eastAsiaTheme="minorEastAsia"/>
                <w:szCs w:val="21"/>
              </w:rPr>
            </w:pPr>
            <w:r>
              <w:rPr>
                <w:rFonts w:hint="eastAsia" w:asciiTheme="minorEastAsia" w:hAnsiTheme="minorEastAsia" w:eastAsiaTheme="minorEastAsia"/>
                <w:szCs w:val="21"/>
              </w:rPr>
              <w:t>提供</w:t>
            </w:r>
            <w:r>
              <w:rPr>
                <w:rFonts w:asciiTheme="minorEastAsia" w:hAnsiTheme="minorEastAsia" w:eastAsiaTheme="minorEastAsia"/>
                <w:szCs w:val="21"/>
              </w:rPr>
              <w:t>自动精简功能，统筹动态分配存储资源，降低存储容量规划难度，精简粒度4K、8K、16K、32K、64K、128K、256K、512K、1M可调节</w:t>
            </w:r>
            <w:r>
              <w:rPr>
                <w:rFonts w:hint="eastAsia" w:asciiTheme="minorEastAsia" w:hAnsiTheme="minorEastAsia" w:eastAsiaTheme="minorEastAsia"/>
                <w:szCs w:val="21"/>
              </w:rPr>
              <w:t>。</w:t>
            </w:r>
          </w:p>
          <w:p w14:paraId="53FA79AF">
            <w:pPr>
              <w:pStyle w:val="6"/>
              <w:framePr w:hSpace="0" w:wrap="auto" w:vAnchor="margin" w:hAnchor="text" w:xAlign="left" w:yAlign="inline"/>
              <w:rPr>
                <w:rFonts w:hint="eastAsia" w:asciiTheme="minorEastAsia" w:hAnsiTheme="minorEastAsia" w:eastAsiaTheme="minorEastAsia"/>
                <w:szCs w:val="21"/>
              </w:rPr>
            </w:pPr>
            <w:r>
              <w:rPr>
                <w:rFonts w:cs="Segoe UI Symbol" w:asciiTheme="minorEastAsia" w:hAnsiTheme="minorEastAsia" w:eastAsiaTheme="minorEastAsia"/>
                <w:szCs w:val="21"/>
              </w:rPr>
              <w:t>★</w:t>
            </w:r>
            <w:r>
              <w:rPr>
                <w:rFonts w:asciiTheme="minorEastAsia" w:hAnsiTheme="minorEastAsia" w:eastAsiaTheme="minorEastAsia"/>
                <w:szCs w:val="21"/>
              </w:rPr>
              <w:t>配置中文图形化管理平台软件</w:t>
            </w:r>
            <w:r>
              <w:rPr>
                <w:rFonts w:hint="eastAsia" w:asciiTheme="minorEastAsia" w:hAnsiTheme="minorEastAsia" w:eastAsiaTheme="minorEastAsia"/>
                <w:szCs w:val="21"/>
              </w:rPr>
              <w:t>，</w:t>
            </w:r>
            <w:r>
              <w:rPr>
                <w:rFonts w:asciiTheme="minorEastAsia" w:hAnsiTheme="minorEastAsia" w:eastAsiaTheme="minorEastAsia"/>
                <w:szCs w:val="21"/>
              </w:rPr>
              <w:t>配置IPv4/v6协议授权，可以通过IPv4/v6协议进行存储访问、带外管理、远程复制等。（提供官网截图）</w:t>
            </w:r>
          </w:p>
          <w:p w14:paraId="3D79842A">
            <w:pPr>
              <w:pStyle w:val="6"/>
              <w:framePr w:hSpace="0" w:wrap="auto" w:vAnchor="margin" w:hAnchor="text" w:xAlign="left" w:yAlign="inline"/>
              <w:rPr>
                <w:rFonts w:hint="eastAsia" w:asciiTheme="minorEastAsia" w:hAnsiTheme="minorEastAsia" w:eastAsiaTheme="minorEastAsia"/>
                <w:szCs w:val="21"/>
              </w:rPr>
            </w:pPr>
            <w:r>
              <w:rPr>
                <w:rFonts w:asciiTheme="minorEastAsia" w:hAnsiTheme="minorEastAsia" w:eastAsiaTheme="minorEastAsia"/>
                <w:szCs w:val="21"/>
              </w:rPr>
              <w:t>配置性能监控功能，可在存储管理界面上查看实时的性能统计数据，支持自定义采样间隔时间≤5s，可按控制器、CPU、内存、硬盘、RAID、LUN、前端端口、后端端口、主机等多粒度统计，也可统计到IOPS、平均IOPS、吞吐量、延时等性能指标。支持保存和查看≥1年的历史性能数据，支持性能预测。</w:t>
            </w:r>
          </w:p>
          <w:p w14:paraId="339A128A">
            <w:pPr>
              <w:pStyle w:val="6"/>
              <w:framePr w:hSpace="0" w:wrap="auto" w:vAnchor="margin" w:hAnchor="text" w:xAlign="left" w:yAlign="inline"/>
              <w:rPr>
                <w:rFonts w:hint="eastAsia" w:asciiTheme="minorEastAsia" w:hAnsiTheme="minorEastAsia" w:eastAsiaTheme="minorEastAsia"/>
                <w:szCs w:val="21"/>
              </w:rPr>
            </w:pPr>
            <w:r>
              <w:rPr>
                <w:rFonts w:asciiTheme="minorEastAsia" w:hAnsiTheme="minorEastAsia" w:eastAsiaTheme="minorEastAsia"/>
                <w:szCs w:val="21"/>
              </w:rPr>
              <w:t>实现存储系统的集中化部署、管理、监控和维护，支持SMI-S接口标准,获得SMI-S V1.8.0版本的认证；（提供SNIA官网截图和链接）</w:t>
            </w:r>
          </w:p>
          <w:p w14:paraId="074A20E2">
            <w:pPr>
              <w:pStyle w:val="6"/>
              <w:framePr w:hSpace="0" w:wrap="auto" w:vAnchor="margin" w:hAnchor="text" w:xAlign="left" w:yAlign="inline"/>
              <w:rPr>
                <w:rFonts w:hint="eastAsia" w:asciiTheme="minorEastAsia" w:hAnsiTheme="minorEastAsia" w:eastAsiaTheme="minorEastAsia"/>
                <w:szCs w:val="21"/>
              </w:rPr>
            </w:pPr>
            <w:r>
              <w:rPr>
                <w:rFonts w:cs="Segoe UI Symbol" w:asciiTheme="minorEastAsia" w:hAnsiTheme="minorEastAsia" w:eastAsiaTheme="minorEastAsia"/>
                <w:szCs w:val="21"/>
              </w:rPr>
              <w:t>★</w:t>
            </w:r>
            <w:r>
              <w:rPr>
                <w:rFonts w:asciiTheme="minorEastAsia" w:hAnsiTheme="minorEastAsia" w:eastAsiaTheme="minorEastAsia"/>
                <w:szCs w:val="21"/>
              </w:rPr>
              <w:t>配置</w:t>
            </w:r>
            <w:r>
              <w:rPr>
                <w:rFonts w:hint="eastAsia" w:asciiTheme="minorEastAsia" w:hAnsiTheme="minorEastAsia" w:eastAsiaTheme="minorEastAsia"/>
                <w:szCs w:val="21"/>
              </w:rPr>
              <w:t>智能巡检软件</w:t>
            </w:r>
            <w:r>
              <w:rPr>
                <w:rFonts w:asciiTheme="minorEastAsia" w:hAnsiTheme="minorEastAsia" w:eastAsiaTheme="minorEastAsia"/>
                <w:szCs w:val="21"/>
              </w:rPr>
              <w:t>，设置巡检策略，自动执行在网存储设备巡检，生成巡检结果，按需将巡检结果自动发送给指定接收人；</w:t>
            </w:r>
          </w:p>
          <w:p w14:paraId="60F54CA9">
            <w:pPr>
              <w:pStyle w:val="6"/>
              <w:framePr w:hSpace="0" w:wrap="auto" w:vAnchor="margin" w:hAnchor="text" w:xAlign="left" w:yAlign="inline"/>
              <w:rPr>
                <w:rFonts w:hint="eastAsia" w:asciiTheme="minorEastAsia" w:hAnsiTheme="minorEastAsia" w:eastAsiaTheme="minorEastAsia"/>
                <w:szCs w:val="21"/>
              </w:rPr>
            </w:pPr>
            <w:r>
              <w:rPr>
                <w:rFonts w:asciiTheme="minorEastAsia" w:hAnsiTheme="minorEastAsia" w:eastAsiaTheme="minorEastAsia"/>
                <w:szCs w:val="21"/>
              </w:rPr>
              <w:t>提供三年原厂维保；原厂上门安装；</w:t>
            </w:r>
          </w:p>
        </w:tc>
        <w:tc>
          <w:tcPr>
            <w:tcW w:w="1168" w:type="dxa"/>
            <w:vAlign w:val="center"/>
          </w:tcPr>
          <w:p w14:paraId="3D8AD8D2">
            <w:pPr>
              <w:spacing w:before="156" w:after="156" w:line="360" w:lineRule="auto"/>
              <w:ind w:firstLine="174" w:firstLineChars="83"/>
              <w:rPr>
                <w:rFonts w:hint="eastAsia" w:asciiTheme="minorEastAsia" w:hAnsiTheme="minorEastAsia"/>
                <w:szCs w:val="21"/>
              </w:rPr>
            </w:pPr>
          </w:p>
        </w:tc>
      </w:tr>
      <w:tr w14:paraId="7117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817" w:type="dxa"/>
            <w:vAlign w:val="center"/>
          </w:tcPr>
          <w:p w14:paraId="417A2A23">
            <w:pPr>
              <w:spacing w:before="156" w:after="156" w:line="360" w:lineRule="auto"/>
              <w:rPr>
                <w:rFonts w:hint="eastAsia" w:asciiTheme="minorEastAsia" w:hAnsiTheme="minorEastAsia"/>
                <w:szCs w:val="21"/>
              </w:rPr>
            </w:pPr>
            <w:r>
              <w:rPr>
                <w:rFonts w:hint="eastAsia" w:asciiTheme="minorEastAsia" w:hAnsiTheme="minorEastAsia"/>
                <w:szCs w:val="21"/>
              </w:rPr>
              <w:t>4</w:t>
            </w:r>
          </w:p>
        </w:tc>
        <w:tc>
          <w:tcPr>
            <w:tcW w:w="1310" w:type="dxa"/>
            <w:vAlign w:val="center"/>
          </w:tcPr>
          <w:p w14:paraId="06AF5E01">
            <w:pPr>
              <w:spacing w:before="156" w:after="156" w:line="360" w:lineRule="auto"/>
              <w:jc w:val="center"/>
              <w:rPr>
                <w:rFonts w:hint="eastAsia" w:asciiTheme="minorEastAsia" w:hAnsiTheme="minorEastAsia"/>
                <w:szCs w:val="21"/>
              </w:rPr>
            </w:pPr>
            <w:r>
              <w:rPr>
                <w:rFonts w:hint="eastAsia" w:asciiTheme="minorEastAsia" w:hAnsiTheme="minorEastAsia"/>
                <w:color w:val="000000"/>
                <w:szCs w:val="21"/>
              </w:rPr>
              <w:t>专项技术服务</w:t>
            </w:r>
          </w:p>
        </w:tc>
        <w:tc>
          <w:tcPr>
            <w:tcW w:w="708" w:type="dxa"/>
            <w:vAlign w:val="center"/>
          </w:tcPr>
          <w:p w14:paraId="10B60550">
            <w:pPr>
              <w:widowControl/>
              <w:spacing w:line="360" w:lineRule="auto"/>
              <w:jc w:val="center"/>
              <w:rPr>
                <w:rFonts w:hint="eastAsia" w:asciiTheme="minorEastAsia" w:hAnsiTheme="minorEastAsia"/>
                <w:szCs w:val="21"/>
              </w:rPr>
            </w:pPr>
            <w:r>
              <w:rPr>
                <w:rFonts w:hint="eastAsia" w:asciiTheme="minorEastAsia" w:hAnsiTheme="minorEastAsia"/>
                <w:szCs w:val="21"/>
              </w:rPr>
              <w:t>1</w:t>
            </w:r>
          </w:p>
        </w:tc>
        <w:tc>
          <w:tcPr>
            <w:tcW w:w="851" w:type="dxa"/>
            <w:vAlign w:val="center"/>
          </w:tcPr>
          <w:p w14:paraId="31F68356">
            <w:pPr>
              <w:widowControl/>
              <w:spacing w:line="360" w:lineRule="auto"/>
              <w:jc w:val="left"/>
              <w:rPr>
                <w:rFonts w:hint="eastAsia" w:asciiTheme="minorEastAsia" w:hAnsiTheme="minorEastAsia"/>
                <w:szCs w:val="21"/>
              </w:rPr>
            </w:pPr>
            <w:r>
              <w:rPr>
                <w:rFonts w:hint="eastAsia" w:asciiTheme="minorEastAsia" w:hAnsiTheme="minorEastAsia"/>
                <w:szCs w:val="21"/>
              </w:rPr>
              <w:t>项</w:t>
            </w:r>
          </w:p>
        </w:tc>
        <w:tc>
          <w:tcPr>
            <w:tcW w:w="9038" w:type="dxa"/>
            <w:vAlign w:val="center"/>
          </w:tcPr>
          <w:p w14:paraId="4DFCA0D9">
            <w:pPr>
              <w:spacing w:line="360" w:lineRule="auto"/>
              <w:rPr>
                <w:rFonts w:hint="eastAsia" w:asciiTheme="minorEastAsia" w:hAnsiTheme="minorEastAsia"/>
                <w:szCs w:val="21"/>
              </w:rPr>
            </w:pPr>
            <w:r>
              <w:rPr>
                <w:rFonts w:hint="eastAsia" w:asciiTheme="minorEastAsia" w:hAnsiTheme="minorEastAsia"/>
                <w:szCs w:val="21"/>
              </w:rPr>
              <w:t>（一）计算资源核心应用HIS系统双机热备及负载均衡架构平台搭建</w:t>
            </w:r>
          </w:p>
          <w:p w14:paraId="6FB37D78">
            <w:pPr>
              <w:spacing w:line="360" w:lineRule="auto"/>
              <w:rPr>
                <w:rFonts w:hint="eastAsia" w:asciiTheme="minorEastAsia" w:hAnsiTheme="minorEastAsia"/>
                <w:szCs w:val="21"/>
              </w:rPr>
            </w:pPr>
            <w:r>
              <w:rPr>
                <w:rFonts w:hint="eastAsia" w:asciiTheme="minorEastAsia" w:hAnsiTheme="minorEastAsia"/>
                <w:szCs w:val="21"/>
              </w:rPr>
              <w:t>(1)安装核心应用HIS系统专用操作系统双机架构及针对业务的系统优化；</w:t>
            </w:r>
          </w:p>
          <w:p w14:paraId="53E16039">
            <w:pPr>
              <w:spacing w:line="360" w:lineRule="auto"/>
              <w:rPr>
                <w:rFonts w:hint="eastAsia" w:asciiTheme="minorEastAsia" w:hAnsiTheme="minorEastAsia"/>
                <w:szCs w:val="21"/>
              </w:rPr>
            </w:pPr>
            <w:r>
              <w:rPr>
                <w:rFonts w:hint="eastAsia" w:asciiTheme="minorEastAsia" w:hAnsiTheme="minorEastAsia"/>
                <w:szCs w:val="21"/>
              </w:rPr>
              <w:t>(2)核心应用HIS系统双机热备及负载均衡架构的网络配置及改造；</w:t>
            </w:r>
          </w:p>
          <w:p w14:paraId="08355FD3">
            <w:pPr>
              <w:spacing w:line="360" w:lineRule="auto"/>
              <w:rPr>
                <w:rFonts w:hint="eastAsia" w:asciiTheme="minorEastAsia" w:hAnsiTheme="minorEastAsia"/>
                <w:szCs w:val="21"/>
              </w:rPr>
            </w:pPr>
            <w:r>
              <w:rPr>
                <w:rFonts w:hint="eastAsia" w:asciiTheme="minorEastAsia" w:hAnsiTheme="minorEastAsia"/>
                <w:szCs w:val="21"/>
              </w:rPr>
              <w:t>(3)计算资源连接存储系统扩容与改造，包括新旧FC存储专用交换机网络改造；</w:t>
            </w:r>
          </w:p>
          <w:p w14:paraId="02A9D176">
            <w:pPr>
              <w:spacing w:line="360" w:lineRule="auto"/>
              <w:rPr>
                <w:rFonts w:hint="eastAsia" w:asciiTheme="minorEastAsia" w:hAnsiTheme="minorEastAsia"/>
                <w:szCs w:val="21"/>
              </w:rPr>
            </w:pPr>
            <w:r>
              <w:rPr>
                <w:rFonts w:hint="eastAsia" w:asciiTheme="minorEastAsia" w:hAnsiTheme="minorEastAsia"/>
                <w:szCs w:val="21"/>
              </w:rPr>
              <w:t>(4)配置双机热备及负载均衡架构平台专用FC磁盘多路径；</w:t>
            </w:r>
          </w:p>
          <w:p w14:paraId="47D54AFF">
            <w:pPr>
              <w:spacing w:line="360" w:lineRule="auto"/>
              <w:rPr>
                <w:rFonts w:hint="eastAsia" w:asciiTheme="minorEastAsia" w:hAnsiTheme="minorEastAsia"/>
                <w:szCs w:val="21"/>
              </w:rPr>
            </w:pPr>
            <w:r>
              <w:rPr>
                <w:rFonts w:hint="eastAsia" w:asciiTheme="minorEastAsia" w:hAnsiTheme="minorEastAsia"/>
                <w:szCs w:val="21"/>
              </w:rPr>
              <w:t>(5)HIS系统双机热备及负载均衡架构存储规划及数据卷挂载；</w:t>
            </w:r>
          </w:p>
          <w:p w14:paraId="5CAAFC24">
            <w:pPr>
              <w:spacing w:line="360" w:lineRule="auto"/>
              <w:rPr>
                <w:rFonts w:hint="eastAsia" w:asciiTheme="minorEastAsia" w:hAnsiTheme="minorEastAsia"/>
                <w:szCs w:val="21"/>
              </w:rPr>
            </w:pPr>
            <w:r>
              <w:rPr>
                <w:rFonts w:hint="eastAsia" w:asciiTheme="minorEastAsia" w:hAnsiTheme="minorEastAsia"/>
                <w:szCs w:val="21"/>
              </w:rPr>
              <w:t>(6)安装及配置HIS系统双机热备及负载均衡架构平台专用DNS服务系统；</w:t>
            </w:r>
          </w:p>
          <w:p w14:paraId="2697EA50">
            <w:pPr>
              <w:spacing w:line="360" w:lineRule="auto"/>
              <w:rPr>
                <w:rFonts w:hint="eastAsia" w:asciiTheme="minorEastAsia" w:hAnsiTheme="minorEastAsia"/>
                <w:szCs w:val="21"/>
              </w:rPr>
            </w:pPr>
            <w:r>
              <w:rPr>
                <w:rFonts w:hint="eastAsia" w:asciiTheme="minorEastAsia" w:hAnsiTheme="minorEastAsia"/>
                <w:szCs w:val="21"/>
              </w:rPr>
              <w:t>(7)HIS系统双机热备及负载均衡架构平台专用NTP服务系统的安装及配置;</w:t>
            </w:r>
          </w:p>
          <w:p w14:paraId="2D04D4DB">
            <w:pPr>
              <w:spacing w:line="360" w:lineRule="auto"/>
              <w:rPr>
                <w:rFonts w:hint="eastAsia" w:asciiTheme="minorEastAsia" w:hAnsiTheme="minorEastAsia"/>
                <w:szCs w:val="21"/>
              </w:rPr>
            </w:pPr>
            <w:r>
              <w:rPr>
                <w:rFonts w:hint="eastAsia" w:asciiTheme="minorEastAsia" w:hAnsiTheme="minorEastAsia"/>
                <w:szCs w:val="21"/>
              </w:rPr>
              <w:t>(8)核心应用HIS系统双机热备及负载均衡架构平台专用数据库系统安装；</w:t>
            </w:r>
          </w:p>
          <w:p w14:paraId="2D66AE93">
            <w:pPr>
              <w:spacing w:line="360" w:lineRule="auto"/>
              <w:rPr>
                <w:rFonts w:hint="eastAsia" w:asciiTheme="minorEastAsia" w:hAnsiTheme="minorEastAsia"/>
                <w:szCs w:val="21"/>
              </w:rPr>
            </w:pPr>
            <w:r>
              <w:rPr>
                <w:rFonts w:hint="eastAsia" w:asciiTheme="minorEastAsia" w:hAnsiTheme="minorEastAsia"/>
                <w:szCs w:val="21"/>
              </w:rPr>
              <w:t>(9)HIS系统双机热备及负载均衡架构平台操作系统及数据库系统专用补丁安装；</w:t>
            </w:r>
          </w:p>
          <w:p w14:paraId="57440F26">
            <w:pPr>
              <w:spacing w:line="360" w:lineRule="auto"/>
              <w:rPr>
                <w:rFonts w:hint="eastAsia" w:asciiTheme="minorEastAsia" w:hAnsiTheme="minorEastAsia"/>
                <w:szCs w:val="21"/>
              </w:rPr>
            </w:pPr>
            <w:r>
              <w:rPr>
                <w:rFonts w:hint="eastAsia" w:asciiTheme="minorEastAsia" w:hAnsiTheme="minorEastAsia"/>
                <w:szCs w:val="21"/>
              </w:rPr>
              <w:t>（二）核心应用HIS系统双机热备及负载均衡架构平台系统切割</w:t>
            </w:r>
          </w:p>
          <w:p w14:paraId="69060529">
            <w:pPr>
              <w:spacing w:line="360" w:lineRule="auto"/>
              <w:rPr>
                <w:rFonts w:hint="eastAsia" w:asciiTheme="minorEastAsia" w:hAnsiTheme="minorEastAsia"/>
                <w:szCs w:val="21"/>
              </w:rPr>
            </w:pPr>
            <w:r>
              <w:rPr>
                <w:rFonts w:hint="eastAsia" w:asciiTheme="minorEastAsia" w:hAnsiTheme="minorEastAsia"/>
                <w:szCs w:val="21"/>
              </w:rPr>
              <w:t>(1)核心应用HIS系统数据备份及数据同步结构的搭建与测试；</w:t>
            </w:r>
          </w:p>
          <w:p w14:paraId="2700E65D">
            <w:pPr>
              <w:spacing w:line="360" w:lineRule="auto"/>
              <w:rPr>
                <w:rFonts w:hint="eastAsia" w:asciiTheme="minorEastAsia" w:hAnsiTheme="minorEastAsia"/>
                <w:szCs w:val="21"/>
              </w:rPr>
            </w:pPr>
            <w:r>
              <w:rPr>
                <w:rFonts w:hint="eastAsia" w:asciiTheme="minorEastAsia" w:hAnsiTheme="minorEastAsia"/>
                <w:szCs w:val="21"/>
              </w:rPr>
              <w:t>(2)HIS核心应用系统双机热备及负载均衡架构平台系统业务联合测试；</w:t>
            </w:r>
          </w:p>
          <w:p w14:paraId="689249E9">
            <w:pPr>
              <w:spacing w:line="360" w:lineRule="auto"/>
              <w:rPr>
                <w:rFonts w:hint="eastAsia" w:asciiTheme="minorEastAsia" w:hAnsiTheme="minorEastAsia"/>
                <w:szCs w:val="21"/>
              </w:rPr>
            </w:pPr>
            <w:r>
              <w:rPr>
                <w:rFonts w:hint="eastAsia" w:asciiTheme="minorEastAsia" w:hAnsiTheme="minorEastAsia"/>
                <w:szCs w:val="21"/>
              </w:rPr>
              <w:t>(3)</w:t>
            </w:r>
            <w:bookmarkStart w:id="1" w:name="OLE_LINK6"/>
            <w:r>
              <w:rPr>
                <w:rFonts w:hint="eastAsia" w:asciiTheme="minorEastAsia" w:hAnsiTheme="minorEastAsia"/>
                <w:szCs w:val="21"/>
              </w:rPr>
              <w:t>核心应用HIS系统双机热备及负载均衡架构平台系统切割方案设计</w:t>
            </w:r>
            <w:bookmarkEnd w:id="1"/>
            <w:r>
              <w:rPr>
                <w:rFonts w:hint="eastAsia" w:asciiTheme="minorEastAsia" w:hAnsiTheme="minorEastAsia"/>
                <w:szCs w:val="21"/>
              </w:rPr>
              <w:t>（要求停机时间少于1小时）；</w:t>
            </w:r>
          </w:p>
          <w:p w14:paraId="4F2A5E76">
            <w:pPr>
              <w:spacing w:line="360" w:lineRule="auto"/>
              <w:rPr>
                <w:rFonts w:hint="eastAsia" w:asciiTheme="minorEastAsia" w:hAnsiTheme="minorEastAsia"/>
                <w:szCs w:val="21"/>
              </w:rPr>
            </w:pPr>
            <w:r>
              <w:rPr>
                <w:rFonts w:hint="eastAsia" w:asciiTheme="minorEastAsia" w:hAnsiTheme="minorEastAsia"/>
                <w:szCs w:val="21"/>
              </w:rPr>
              <w:t>(4)HIS核心应用客户端双机热备及负载均衡架构改造、配置与测试；</w:t>
            </w:r>
          </w:p>
          <w:p w14:paraId="2776C782">
            <w:pPr>
              <w:spacing w:line="360" w:lineRule="auto"/>
              <w:rPr>
                <w:rFonts w:hint="eastAsia" w:asciiTheme="minorEastAsia" w:hAnsiTheme="minorEastAsia"/>
                <w:szCs w:val="21"/>
              </w:rPr>
            </w:pPr>
            <w:r>
              <w:rPr>
                <w:rFonts w:hint="eastAsia" w:asciiTheme="minorEastAsia" w:hAnsiTheme="minorEastAsia"/>
                <w:szCs w:val="21"/>
              </w:rPr>
              <w:t>(5)核心应用HIS系统双机热备及负载均衡架构平台系统正式切割；</w:t>
            </w:r>
          </w:p>
          <w:p w14:paraId="12D09C9F">
            <w:pPr>
              <w:spacing w:line="360" w:lineRule="auto"/>
              <w:rPr>
                <w:rFonts w:hint="eastAsia" w:asciiTheme="minorEastAsia" w:hAnsiTheme="minorEastAsia"/>
                <w:szCs w:val="21"/>
              </w:rPr>
            </w:pPr>
            <w:r>
              <w:rPr>
                <w:rFonts w:hint="eastAsia" w:asciiTheme="minorEastAsia" w:hAnsiTheme="minorEastAsia"/>
                <w:szCs w:val="21"/>
              </w:rPr>
              <w:t>（三）其他技术内容</w:t>
            </w:r>
          </w:p>
          <w:p w14:paraId="681543CB">
            <w:pPr>
              <w:spacing w:line="360" w:lineRule="auto"/>
              <w:rPr>
                <w:rFonts w:hint="eastAsia" w:asciiTheme="minorEastAsia" w:hAnsiTheme="minorEastAsia"/>
                <w:szCs w:val="21"/>
              </w:rPr>
            </w:pPr>
            <w:r>
              <w:rPr>
                <w:rFonts w:hint="eastAsia" w:asciiTheme="minorEastAsia" w:hAnsiTheme="minorEastAsia"/>
                <w:szCs w:val="21"/>
              </w:rPr>
              <w:t>(1)EMR核心应用系统存储迁移与扩容，要求迁移工作不能影响业务的正常运行；</w:t>
            </w:r>
          </w:p>
          <w:p w14:paraId="12D6C041">
            <w:pPr>
              <w:spacing w:line="360" w:lineRule="auto"/>
              <w:rPr>
                <w:rFonts w:hint="eastAsia" w:asciiTheme="minorEastAsia" w:hAnsiTheme="minorEastAsia"/>
                <w:szCs w:val="21"/>
              </w:rPr>
            </w:pPr>
            <w:r>
              <w:rPr>
                <w:rFonts w:hint="eastAsia" w:asciiTheme="minorEastAsia" w:hAnsiTheme="minorEastAsia"/>
                <w:szCs w:val="21"/>
              </w:rPr>
              <w:t>(2)HIS及EMR核心应用系统备份库系统重新搭建、配置及测试；</w:t>
            </w:r>
          </w:p>
          <w:p w14:paraId="539A3A9B">
            <w:pPr>
              <w:spacing w:line="360" w:lineRule="auto"/>
              <w:rPr>
                <w:rFonts w:hint="eastAsia" w:asciiTheme="minorEastAsia" w:hAnsiTheme="minorEastAsia"/>
                <w:szCs w:val="21"/>
              </w:rPr>
            </w:pPr>
            <w:r>
              <w:rPr>
                <w:rFonts w:hint="eastAsia" w:asciiTheme="minorEastAsia" w:hAnsiTheme="minorEastAsia"/>
                <w:szCs w:val="21"/>
              </w:rPr>
              <w:t>(3)核心应用HIS系统及EMR系统连续性数据库保护（CDP）系统重新改造；</w:t>
            </w:r>
          </w:p>
          <w:p w14:paraId="5EC7209A">
            <w:pPr>
              <w:spacing w:line="360" w:lineRule="auto"/>
              <w:rPr>
                <w:rFonts w:hint="eastAsia" w:asciiTheme="minorEastAsia" w:hAnsiTheme="minorEastAsia"/>
                <w:szCs w:val="21"/>
              </w:rPr>
            </w:pPr>
            <w:r>
              <w:rPr>
                <w:rFonts w:hint="eastAsia" w:asciiTheme="minorEastAsia" w:hAnsiTheme="minorEastAsia"/>
                <w:szCs w:val="21"/>
              </w:rPr>
              <w:t>(4)HIS及EMR核心应用系统数据备份平台系统重新改造及配置；</w:t>
            </w:r>
          </w:p>
          <w:p w14:paraId="445347CE">
            <w:pPr>
              <w:spacing w:line="360" w:lineRule="auto"/>
              <w:rPr>
                <w:rFonts w:hint="eastAsia" w:asciiTheme="minorEastAsia" w:hAnsiTheme="minorEastAsia"/>
                <w:szCs w:val="21"/>
              </w:rPr>
            </w:pPr>
            <w:r>
              <w:rPr>
                <w:rFonts w:hint="eastAsia" w:asciiTheme="minorEastAsia" w:hAnsiTheme="minorEastAsia"/>
                <w:szCs w:val="21"/>
              </w:rPr>
              <w:t>(5)在不中断前端业务的情况下，实现与原有存储进行实时数据同步；</w:t>
            </w:r>
          </w:p>
          <w:p w14:paraId="591959B3">
            <w:pPr>
              <w:spacing w:line="360" w:lineRule="auto"/>
              <w:rPr>
                <w:rFonts w:hint="eastAsia" w:asciiTheme="minorEastAsia" w:hAnsiTheme="minorEastAsia"/>
                <w:szCs w:val="21"/>
              </w:rPr>
            </w:pPr>
            <w:r>
              <w:rPr>
                <w:rFonts w:hint="eastAsia" w:asciiTheme="minorEastAsia" w:hAnsiTheme="minorEastAsia"/>
                <w:szCs w:val="21"/>
              </w:rPr>
              <w:t>(6)所涉及其他网络设备、存储设备、交换设备、备份设备、容灾设备等，以及监控管理平台和业务软件等第三方进行联合调试。</w:t>
            </w:r>
          </w:p>
        </w:tc>
        <w:tc>
          <w:tcPr>
            <w:tcW w:w="1168" w:type="dxa"/>
            <w:vAlign w:val="center"/>
          </w:tcPr>
          <w:p w14:paraId="3C93119A">
            <w:pPr>
              <w:spacing w:before="156" w:after="156" w:line="360" w:lineRule="auto"/>
              <w:ind w:firstLine="174" w:firstLineChars="83"/>
              <w:rPr>
                <w:rFonts w:hint="eastAsia" w:asciiTheme="minorEastAsia" w:hAnsiTheme="minorEastAsia"/>
                <w:szCs w:val="21"/>
              </w:rPr>
            </w:pPr>
          </w:p>
        </w:tc>
      </w:tr>
      <w:bookmarkEnd w:id="0"/>
    </w:tbl>
    <w:p w14:paraId="7306E0C3"/>
    <w:sectPr>
      <w:pgSz w:w="16838" w:h="11906" w:orient="landscape"/>
      <w:pgMar w:top="760" w:right="1440" w:bottom="128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Segoe UI Symbol">
    <w:panose1 w:val="020B0502040204020203"/>
    <w:charset w:val="00"/>
    <w:family w:val="swiss"/>
    <w:pitch w:val="default"/>
    <w:sig w:usb0="8000006F" w:usb1="1200FBEF" w:usb2="0064C000" w:usb3="00000002"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4342DA"/>
    <w:multiLevelType w:val="multilevel"/>
    <w:tmpl w:val="554342DA"/>
    <w:lvl w:ilvl="0" w:tentative="0">
      <w:start w:val="1"/>
      <w:numFmt w:val="decimal"/>
      <w:pStyle w:val="6"/>
      <w:suff w:val="space"/>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2MjU3MzA2ZmU2Yjg2MzVkZjI1YTZjNmI5NWY0MjkifQ=="/>
  </w:docVars>
  <w:rsids>
    <w:rsidRoot w:val="4CEA21B0"/>
    <w:rsid w:val="000232C9"/>
    <w:rsid w:val="00030EEC"/>
    <w:rsid w:val="00035D10"/>
    <w:rsid w:val="0008316A"/>
    <w:rsid w:val="0009094D"/>
    <w:rsid w:val="000B15F4"/>
    <w:rsid w:val="000B5BF8"/>
    <w:rsid w:val="0010660A"/>
    <w:rsid w:val="00161C9A"/>
    <w:rsid w:val="001650DF"/>
    <w:rsid w:val="00170EB3"/>
    <w:rsid w:val="001755B0"/>
    <w:rsid w:val="00193BC6"/>
    <w:rsid w:val="001B0BDC"/>
    <w:rsid w:val="001B4170"/>
    <w:rsid w:val="002262DE"/>
    <w:rsid w:val="00257A60"/>
    <w:rsid w:val="00282C3E"/>
    <w:rsid w:val="00287811"/>
    <w:rsid w:val="002A61D8"/>
    <w:rsid w:val="002D281B"/>
    <w:rsid w:val="003215A0"/>
    <w:rsid w:val="003379FB"/>
    <w:rsid w:val="00342C08"/>
    <w:rsid w:val="00345FAC"/>
    <w:rsid w:val="0035613A"/>
    <w:rsid w:val="003621CA"/>
    <w:rsid w:val="003C3E3A"/>
    <w:rsid w:val="0041392F"/>
    <w:rsid w:val="00450C8A"/>
    <w:rsid w:val="00457B04"/>
    <w:rsid w:val="004B7ADF"/>
    <w:rsid w:val="004C7CE8"/>
    <w:rsid w:val="004F6697"/>
    <w:rsid w:val="00535BBD"/>
    <w:rsid w:val="00542FBE"/>
    <w:rsid w:val="00551592"/>
    <w:rsid w:val="00594402"/>
    <w:rsid w:val="00594903"/>
    <w:rsid w:val="005B45F5"/>
    <w:rsid w:val="005C3841"/>
    <w:rsid w:val="005C3B75"/>
    <w:rsid w:val="005C4FED"/>
    <w:rsid w:val="006118FB"/>
    <w:rsid w:val="00664755"/>
    <w:rsid w:val="00665105"/>
    <w:rsid w:val="006B49E6"/>
    <w:rsid w:val="006B754C"/>
    <w:rsid w:val="006B7DE1"/>
    <w:rsid w:val="006C31AE"/>
    <w:rsid w:val="006D6CA1"/>
    <w:rsid w:val="0071405C"/>
    <w:rsid w:val="00776899"/>
    <w:rsid w:val="00785218"/>
    <w:rsid w:val="007A5C25"/>
    <w:rsid w:val="007B340E"/>
    <w:rsid w:val="007D242D"/>
    <w:rsid w:val="007E5AAD"/>
    <w:rsid w:val="007F2E0B"/>
    <w:rsid w:val="00801C44"/>
    <w:rsid w:val="00814867"/>
    <w:rsid w:val="00823B55"/>
    <w:rsid w:val="0083563E"/>
    <w:rsid w:val="00854C07"/>
    <w:rsid w:val="00891752"/>
    <w:rsid w:val="008C6C12"/>
    <w:rsid w:val="008D63F1"/>
    <w:rsid w:val="00901573"/>
    <w:rsid w:val="009214A4"/>
    <w:rsid w:val="009258CA"/>
    <w:rsid w:val="00930ECC"/>
    <w:rsid w:val="00966F13"/>
    <w:rsid w:val="009778D9"/>
    <w:rsid w:val="009A69E3"/>
    <w:rsid w:val="009D07CE"/>
    <w:rsid w:val="009E1F56"/>
    <w:rsid w:val="009E32F5"/>
    <w:rsid w:val="00A50E2A"/>
    <w:rsid w:val="00A706E1"/>
    <w:rsid w:val="00A70FB6"/>
    <w:rsid w:val="00AE267C"/>
    <w:rsid w:val="00AE4F6A"/>
    <w:rsid w:val="00AF6054"/>
    <w:rsid w:val="00B174A3"/>
    <w:rsid w:val="00B47FCC"/>
    <w:rsid w:val="00B50C74"/>
    <w:rsid w:val="00B72040"/>
    <w:rsid w:val="00C04C1E"/>
    <w:rsid w:val="00C20C0C"/>
    <w:rsid w:val="00C32E50"/>
    <w:rsid w:val="00C8521B"/>
    <w:rsid w:val="00CA7BA4"/>
    <w:rsid w:val="00D07896"/>
    <w:rsid w:val="00D20208"/>
    <w:rsid w:val="00D6788A"/>
    <w:rsid w:val="00D86FAE"/>
    <w:rsid w:val="00DA4C38"/>
    <w:rsid w:val="00DB6575"/>
    <w:rsid w:val="00DD586C"/>
    <w:rsid w:val="00DE405C"/>
    <w:rsid w:val="00DF37D4"/>
    <w:rsid w:val="00E12843"/>
    <w:rsid w:val="00E226A4"/>
    <w:rsid w:val="00E42732"/>
    <w:rsid w:val="00E566C6"/>
    <w:rsid w:val="00E6005C"/>
    <w:rsid w:val="00E66BF0"/>
    <w:rsid w:val="00E74D84"/>
    <w:rsid w:val="00E813EE"/>
    <w:rsid w:val="00E92738"/>
    <w:rsid w:val="00EA02E6"/>
    <w:rsid w:val="00F17745"/>
    <w:rsid w:val="00F57F0C"/>
    <w:rsid w:val="00FC7CF4"/>
    <w:rsid w:val="00FE2029"/>
    <w:rsid w:val="08F32CB6"/>
    <w:rsid w:val="191E7A22"/>
    <w:rsid w:val="316411F1"/>
    <w:rsid w:val="4CEA21B0"/>
    <w:rsid w:val="4D4D4DDF"/>
    <w:rsid w:val="63AC5DC5"/>
    <w:rsid w:val="6A2611F7"/>
    <w:rsid w:val="6EEA2E5D"/>
    <w:rsid w:val="6F172337"/>
    <w:rsid w:val="735163A2"/>
    <w:rsid w:val="78FB6D84"/>
    <w:rsid w:val="7A1403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autoRedefine/>
    <w:qFormat/>
    <w:uiPriority w:val="0"/>
    <w:pPr>
      <w:tabs>
        <w:tab w:val="center" w:pos="4153"/>
        <w:tab w:val="right" w:pos="8306"/>
      </w:tabs>
      <w:snapToGrid w:val="0"/>
      <w:jc w:val="left"/>
    </w:pPr>
    <w:rPr>
      <w:sz w:val="18"/>
      <w:szCs w:val="18"/>
    </w:rPr>
  </w:style>
  <w:style w:type="paragraph" w:styleId="3">
    <w:name w:val="header"/>
    <w:basedOn w:val="1"/>
    <w:link w:val="7"/>
    <w:autoRedefine/>
    <w:qFormat/>
    <w:uiPriority w:val="0"/>
    <w:pPr>
      <w:tabs>
        <w:tab w:val="center" w:pos="4153"/>
        <w:tab w:val="right" w:pos="8306"/>
      </w:tabs>
      <w:snapToGrid w:val="0"/>
      <w:jc w:val="center"/>
    </w:pPr>
    <w:rPr>
      <w:sz w:val="18"/>
      <w:szCs w:val="18"/>
    </w:rPr>
  </w:style>
  <w:style w:type="paragraph" w:styleId="6">
    <w:name w:val="List Paragraph"/>
    <w:basedOn w:val="1"/>
    <w:autoRedefine/>
    <w:qFormat/>
    <w:uiPriority w:val="34"/>
    <w:pPr>
      <w:framePr w:hSpace="180" w:wrap="around" w:vAnchor="text" w:hAnchor="page" w:x="1551" w:y="747"/>
      <w:suppressOverlap/>
      <w:numPr>
        <w:ilvl w:val="0"/>
        <w:numId w:val="1"/>
      </w:numPr>
      <w:spacing w:line="360" w:lineRule="auto"/>
    </w:pPr>
    <w:rPr>
      <w:rFonts w:ascii="Calibri" w:hAnsi="Calibri" w:eastAsia="宋体" w:cs="宋体"/>
    </w:rPr>
  </w:style>
  <w:style w:type="character" w:customStyle="1" w:styleId="7">
    <w:name w:val="页眉 字符"/>
    <w:basedOn w:val="5"/>
    <w:link w:val="3"/>
    <w:autoRedefine/>
    <w:qFormat/>
    <w:uiPriority w:val="0"/>
    <w:rPr>
      <w:kern w:val="2"/>
      <w:sz w:val="18"/>
      <w:szCs w:val="18"/>
    </w:rPr>
  </w:style>
  <w:style w:type="character" w:customStyle="1" w:styleId="8">
    <w:name w:val="页脚 字符"/>
    <w:basedOn w:val="5"/>
    <w:link w:val="2"/>
    <w:autoRedefine/>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2237</Words>
  <Characters>2606</Characters>
  <Lines>58</Lines>
  <Paragraphs>67</Paragraphs>
  <TotalTime>0</TotalTime>
  <ScaleCrop>false</ScaleCrop>
  <LinksUpToDate>false</LinksUpToDate>
  <CharactersWithSpaces>2627</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2026-08-27T09:10:00Z</dcterms:created>
  <dc:creator>蓝天白云</dc:creator>
  <cp:lastModifiedBy>未定义</cp:lastModifiedBy>
  <dcterms:modified xsi:type="dcterms:W3CDTF">2026-09-21T03:49:10Z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A7EC0C7A29F94E228295870DE9FCC0DB_13</vt:lpwstr>
  </property>
  <property fmtid="{D5CDD505-2E9C-101B-9397-08002B2CF9AE}" pid="4" name="KSOTemplateDocerSaveRecord">
    <vt:lpwstr>eyJoZGlkIjoiZGMxZmE0NDBjNzJhYTcxN2FmZjNhMmY5NjUyZThkYjMiLCJ1c2VySWQiOiIxNzk1NjMzNDgyIn0=</vt:lpwstr>
  </property>
</Properties>
</file>