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left="425" w:leftChars="193"/>
        <w:rPr>
          <w:color w:val="555555"/>
          <w:sz w:val="21"/>
          <w:szCs w:val="21"/>
        </w:rPr>
      </w:pPr>
      <w:r>
        <w:rPr>
          <w:rStyle w:val="5"/>
          <w:rFonts w:hint="eastAsia" w:ascii="Times New Roman" w:hAnsi="Times New Roman" w:cs="Times New Roman"/>
          <w:bCs/>
          <w:color w:val="000000"/>
        </w:rPr>
        <w:t>项目附表：（参数仅是市场调研初步参数，各厂商或代理商可针对全部货物或单一货物提供具体响应数值及参数修改意见）</w:t>
      </w:r>
    </w:p>
    <w:tbl>
      <w:tblPr>
        <w:tblStyle w:val="2"/>
        <w:tblpPr w:leftFromText="180" w:rightFromText="180" w:vertAnchor="text" w:horzAnchor="page" w:tblpX="924" w:tblpY="563"/>
        <w:tblOverlap w:val="never"/>
        <w:tblW w:w="9983" w:type="dxa"/>
        <w:tblInd w:w="0" w:type="dxa"/>
        <w:tblLayout w:type="fixed"/>
        <w:tblCellMar>
          <w:top w:w="15" w:type="dxa"/>
          <w:left w:w="15" w:type="dxa"/>
          <w:bottom w:w="15" w:type="dxa"/>
          <w:right w:w="15" w:type="dxa"/>
        </w:tblCellMar>
      </w:tblPr>
      <w:tblGrid>
        <w:gridCol w:w="909"/>
        <w:gridCol w:w="1099"/>
        <w:gridCol w:w="985"/>
        <w:gridCol w:w="1241"/>
        <w:gridCol w:w="5749"/>
      </w:tblGrid>
      <w:tr>
        <w:tblPrEx>
          <w:tblCellMar>
            <w:top w:w="15" w:type="dxa"/>
            <w:left w:w="15" w:type="dxa"/>
            <w:bottom w:w="15" w:type="dxa"/>
            <w:right w:w="15" w:type="dxa"/>
          </w:tblCellMar>
        </w:tblPrEx>
        <w:trPr>
          <w:trHeight w:val="7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ascii="宋体" w:hAnsi="宋体" w:cs="宋体"/>
                <w:sz w:val="21"/>
                <w:szCs w:val="21"/>
              </w:rPr>
            </w:pPr>
            <w:r>
              <w:rPr>
                <w:rFonts w:hint="eastAsia" w:ascii="宋体" w:hAnsi="宋体" w:cs="宋体"/>
                <w:sz w:val="21"/>
                <w:szCs w:val="21"/>
              </w:rPr>
              <w:t>项目  编号</w:t>
            </w:r>
          </w:p>
        </w:tc>
        <w:tc>
          <w:tcPr>
            <w:tcW w:w="1099"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ascii="宋体" w:hAnsi="宋体" w:cs="宋体"/>
                <w:sz w:val="24"/>
                <w:szCs w:val="24"/>
              </w:rPr>
            </w:pPr>
            <w:r>
              <w:rPr>
                <w:rFonts w:hint="eastAsia" w:ascii="宋体" w:hAnsi="宋体" w:cs="宋体"/>
                <w:sz w:val="24"/>
                <w:szCs w:val="24"/>
              </w:rPr>
              <w:t>货物  名称</w:t>
            </w:r>
          </w:p>
        </w:tc>
        <w:tc>
          <w:tcPr>
            <w:tcW w:w="985"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sz w:val="24"/>
                <w:szCs w:val="24"/>
                <w:lang w:eastAsia="zh-CN"/>
              </w:rPr>
            </w:pPr>
            <w:r>
              <w:rPr>
                <w:rFonts w:hint="eastAsia" w:ascii="宋体" w:hAnsi="宋体" w:cs="宋体"/>
                <w:sz w:val="24"/>
                <w:szCs w:val="24"/>
              </w:rPr>
              <w:t>数量</w:t>
            </w:r>
            <w:r>
              <w:rPr>
                <w:rFonts w:hint="eastAsia" w:ascii="宋体" w:hAnsi="宋体" w:cs="宋体"/>
                <w:sz w:val="24"/>
                <w:szCs w:val="24"/>
                <w:lang w:eastAsia="zh-CN"/>
              </w:rPr>
              <w:t>（吨）</w:t>
            </w:r>
          </w:p>
        </w:tc>
        <w:tc>
          <w:tcPr>
            <w:tcW w:w="1241" w:type="dxa"/>
            <w:tcBorders>
              <w:top w:val="single" w:color="000000" w:sz="4" w:space="0"/>
              <w:left w:val="nil"/>
              <w:bottom w:val="single" w:color="000000" w:sz="4" w:space="0"/>
              <w:right w:val="single" w:color="auto" w:sz="4" w:space="0"/>
            </w:tcBorders>
            <w:shd w:val="clear" w:color="auto" w:fill="FFFFFF"/>
            <w:tcMar>
              <w:top w:w="0" w:type="dxa"/>
              <w:left w:w="70" w:type="dxa"/>
              <w:bottom w:w="0" w:type="dxa"/>
              <w:right w:w="70" w:type="dxa"/>
            </w:tcMar>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ascii="宋体" w:hAnsi="宋体" w:cs="宋体"/>
                <w:sz w:val="24"/>
                <w:szCs w:val="24"/>
              </w:rPr>
            </w:pPr>
            <w:r>
              <w:rPr>
                <w:rFonts w:hint="eastAsia" w:ascii="宋体" w:hAnsi="宋体" w:cs="宋体"/>
                <w:sz w:val="21"/>
                <w:szCs w:val="21"/>
              </w:rPr>
              <w:t>预算单价</w:t>
            </w:r>
          </w:p>
        </w:tc>
        <w:tc>
          <w:tcPr>
            <w:tcW w:w="5749" w:type="dxa"/>
            <w:tcBorders>
              <w:top w:val="single" w:color="000000" w:sz="4" w:space="0"/>
              <w:left w:val="nil"/>
              <w:bottom w:val="single" w:color="000000" w:sz="4" w:space="0"/>
              <w:right w:val="single" w:color="auto" w:sz="4" w:space="0"/>
            </w:tcBorders>
            <w:shd w:val="clear" w:color="auto" w:fill="FFFFFF"/>
            <w:tcMar>
              <w:top w:w="0" w:type="dxa"/>
              <w:left w:w="70" w:type="dxa"/>
              <w:bottom w:w="0" w:type="dxa"/>
              <w:right w:w="70" w:type="dxa"/>
            </w:tcMar>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ascii="宋体" w:hAnsi="宋体" w:cs="宋体"/>
                <w:sz w:val="24"/>
                <w:szCs w:val="24"/>
              </w:rPr>
            </w:pPr>
            <w:r>
              <w:rPr>
                <w:rFonts w:hint="eastAsia" w:ascii="宋体" w:hAnsi="宋体" w:cs="宋体"/>
                <w:sz w:val="24"/>
                <w:szCs w:val="24"/>
              </w:rPr>
              <w:t>技术指标要求</w:t>
            </w:r>
          </w:p>
        </w:tc>
      </w:tr>
      <w:tr>
        <w:tblPrEx>
          <w:tblCellMar>
            <w:top w:w="15" w:type="dxa"/>
            <w:left w:w="15" w:type="dxa"/>
            <w:bottom w:w="15" w:type="dxa"/>
            <w:right w:w="15" w:type="dxa"/>
          </w:tblCellMar>
        </w:tblPrEx>
        <w:trPr>
          <w:trHeight w:val="1300" w:hRule="atLeast"/>
        </w:trPr>
        <w:tc>
          <w:tcPr>
            <w:tcW w:w="909" w:type="dxa"/>
            <w:tcBorders>
              <w:top w:val="nil"/>
              <w:left w:val="single" w:color="000000" w:sz="4" w:space="0"/>
              <w:bottom w:val="single" w:color="auto" w:sz="4" w:space="0"/>
              <w:right w:val="single" w:color="000000" w:sz="4" w:space="0"/>
            </w:tcBorders>
            <w:shd w:val="clear" w:color="auto" w:fill="FFFFFF"/>
            <w:tcMar>
              <w:top w:w="0" w:type="dxa"/>
              <w:left w:w="70" w:type="dxa"/>
              <w:bottom w:w="0" w:type="dxa"/>
              <w:right w:w="70" w:type="dxa"/>
            </w:tcMar>
            <w:vAlign w:val="center"/>
          </w:tcPr>
          <w:p>
            <w:pPr>
              <w:keepNext w:val="0"/>
              <w:keepLines w:val="0"/>
              <w:pageBreakBefore w:val="0"/>
              <w:kinsoku/>
              <w:wordWrap/>
              <w:overflowPunct/>
              <w:topLinePunct w:val="0"/>
              <w:autoSpaceDE/>
              <w:autoSpaceDN/>
              <w:bidi w:val="0"/>
              <w:adjustRightInd/>
              <w:snapToGrid/>
              <w:spacing w:after="0" w:line="240" w:lineRule="exact"/>
              <w:jc w:val="center"/>
              <w:textAlignment w:val="center"/>
              <w:rPr>
                <w:rFonts w:ascii="宋体" w:hAnsi="宋体" w:cs="宋体"/>
                <w:sz w:val="21"/>
                <w:szCs w:val="21"/>
              </w:rPr>
            </w:pPr>
            <w:r>
              <w:rPr>
                <w:rFonts w:hint="eastAsia" w:ascii="宋体" w:hAnsi="宋体" w:cs="宋体"/>
                <w:sz w:val="21"/>
                <w:szCs w:val="21"/>
              </w:rPr>
              <w:t>0</w:t>
            </w:r>
            <w:r>
              <w:rPr>
                <w:rFonts w:hint="eastAsia" w:ascii="宋体" w:hAnsi="宋体" w:cs="宋体"/>
                <w:sz w:val="21"/>
                <w:szCs w:val="21"/>
                <w:lang w:val="en-US" w:eastAsia="zh-CN"/>
              </w:rPr>
              <w:t>3</w:t>
            </w:r>
            <w:r>
              <w:rPr>
                <w:rFonts w:hint="eastAsia" w:ascii="宋体" w:hAnsi="宋体" w:cs="宋体"/>
                <w:sz w:val="21"/>
                <w:szCs w:val="21"/>
              </w:rPr>
              <w:t>-01-1</w:t>
            </w:r>
          </w:p>
        </w:tc>
        <w:tc>
          <w:tcPr>
            <w:tcW w:w="1099" w:type="dxa"/>
            <w:tcBorders>
              <w:top w:val="nil"/>
              <w:left w:val="single" w:color="000000" w:sz="4" w:space="0"/>
              <w:bottom w:val="single" w:color="auto" w:sz="4" w:space="0"/>
              <w:right w:val="single" w:color="000000" w:sz="4" w:space="0"/>
            </w:tcBorders>
            <w:shd w:val="clear" w:color="auto" w:fill="FFFFFF"/>
            <w:tcMar>
              <w:top w:w="0" w:type="dxa"/>
              <w:left w:w="70" w:type="dxa"/>
              <w:bottom w:w="0" w:type="dxa"/>
              <w:right w:w="70" w:type="dxa"/>
            </w:tcMar>
            <w:vAlign w:val="center"/>
          </w:tcPr>
          <w:p>
            <w:pPr>
              <w:keepNext w:val="0"/>
              <w:keepLines w:val="0"/>
              <w:pageBreakBefore w:val="0"/>
              <w:kinsoku/>
              <w:wordWrap/>
              <w:overflowPunct/>
              <w:topLinePunct w:val="0"/>
              <w:autoSpaceDE/>
              <w:autoSpaceDN/>
              <w:bidi w:val="0"/>
              <w:spacing w:line="240" w:lineRule="exact"/>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液态氧</w:t>
            </w:r>
          </w:p>
        </w:tc>
        <w:tc>
          <w:tcPr>
            <w:tcW w:w="985" w:type="dxa"/>
            <w:tcBorders>
              <w:top w:val="nil"/>
              <w:left w:val="single" w:color="000000" w:sz="4" w:space="0"/>
              <w:bottom w:val="single" w:color="auto" w:sz="4" w:space="0"/>
              <w:right w:val="single" w:color="000000" w:sz="4" w:space="0"/>
            </w:tcBorders>
            <w:shd w:val="clear" w:color="auto" w:fill="FFFFFF"/>
            <w:tcMar>
              <w:top w:w="0" w:type="dxa"/>
              <w:left w:w="70" w:type="dxa"/>
              <w:bottom w:w="0" w:type="dxa"/>
              <w:right w:w="70" w:type="dxa"/>
            </w:tcMar>
            <w:vAlign w:val="center"/>
          </w:tcPr>
          <w:p>
            <w:pPr>
              <w:keepNext w:val="0"/>
              <w:keepLines w:val="0"/>
              <w:pageBreakBefore w:val="0"/>
              <w:kinsoku/>
              <w:wordWrap/>
              <w:overflowPunct/>
              <w:topLinePunct w:val="0"/>
              <w:autoSpaceDE/>
              <w:autoSpaceDN/>
              <w:bidi w:val="0"/>
              <w:spacing w:line="24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3000</w:t>
            </w:r>
          </w:p>
        </w:tc>
        <w:tc>
          <w:tcPr>
            <w:tcW w:w="124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keepNext w:val="0"/>
              <w:keepLines w:val="0"/>
              <w:pageBreakBefore w:val="0"/>
              <w:kinsoku/>
              <w:wordWrap/>
              <w:overflowPunct/>
              <w:topLinePunct w:val="0"/>
              <w:autoSpaceDE/>
              <w:autoSpaceDN/>
              <w:bidi w:val="0"/>
              <w:spacing w:line="240" w:lineRule="exact"/>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2750元/吨</w:t>
            </w:r>
          </w:p>
        </w:tc>
        <w:tc>
          <w:tcPr>
            <w:tcW w:w="5749"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一、配置数量</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1、需求量：3000吨</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二、技术参数要求</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（一）、配送医用氧厂家应具备条件：</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1、具有医用氧生产资质及药品再注册批件；</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2、具有危险化学品经营许可证；</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3、24小时全天侯服务（包括送氧及供氧设备维修）；</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4、必须提供中华人民共和国特种设备安全管理和作业人员证（R2）持证人员2人，持证人员必须为本公司员工，提供证件复印件投标时间前连续三个月潜在投标人为人员交纳社保的证明材料复印件；</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5、具备医用氧低温配送25吨的车辆不少于3辆，小型单体紧急供气槽车1辆，以满足各种状况下的需求；</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6、具有液氧储罐气体监控装置；</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7、负责办理《特种设备使用证》；</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8、建立相应应急供氧和故障排除预案，能做到24小时全天候应急紧急抢修和故障处理，遇紧急情况能采取控制措施，避免事态恶化。</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9、医用</w:t>
            </w:r>
            <w:bookmarkStart w:id="0" w:name="_GoBack"/>
            <w:bookmarkEnd w:id="0"/>
            <w:r>
              <w:rPr>
                <w:rFonts w:hint="eastAsia" w:ascii="宋体" w:hAnsi="宋体" w:eastAsia="宋体" w:cs="宋体"/>
                <w:sz w:val="24"/>
                <w:szCs w:val="24"/>
                <w:lang w:eastAsia="zh-CN"/>
              </w:rPr>
              <w:t>氧储存量不得少于50吨。</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（二）、医用氧质量标准：</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1、按《中国药典》2020年版二部“氧、《药品生产质量管理规范》2010年的标准执行；</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2、医用氧含O2不得少于99.5%(ml/ml)；二氧化碳含量不得超过0.01%；</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3、医用氧性状为无色气体；无臭、无味；</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配送的医用氧含O2不得少于99.5%(ml/ml)（根据铜氨吸收法检测）、酸碱度（甲基红与溴麝香草酚蓝指示液分别加入盐酸进行检测）、一氧化碳（氨制硝酸银试液检测）、二氧化碳（氢氧化钡溶液、碳酸氢钠溶液进行检测），要符合《中国药典》2020版二部氧质量要求。</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5、有效期必须达1年。</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（三）、医用氧专用设备要求</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合同供氧期间，负责提供医用氧专用设备供医院使用，投入有全套设备及施工，并负责该设备的维护、维修、检测、检定，保持有效使用，维护服务，维修、检测、检定等所更换的配件等不再收取任何费用：</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压力表、安全阀、液氧储罐等应按国家要求给予检定，保持有效性。</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▲2、中标后在合同期内须为医院提供以下设备：</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按照各院区的安全运行储量要求≥20吨（1m³=1.14吨）及规范要求提供低温液氧储槽且须办理好《特种设备使用证》；（1）设计压力：0.8/-0.1MPa（2）设计温度：-196/20℃（3）储槽要求液相、气相均为双阀，达到储槽和汽化器并联交替使用；</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2.2、汽化器两套（≥400 m3/小时）；</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3、安装要求：</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3.1、设备安装时产生费用由中标人承担，安装时配备供氧方的数显液位、压力远程监控装置；液氧储罐必须安装有防雷装置。</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3.2、中标后在医院建设低温液氧站点及提供维护等服务。</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3.3、自签合同之日起10日内设备安装完毕并办好手续交付使用。</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（四）、阀门：</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1、低温阀要求：材质：不锈钢（CF8）；适应温度：-196～+80℃；</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2、安全阀要求：材质：不锈钢（CF8）； </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（五）、配送医用氧范围</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百色市人民医院院区</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（六）、合同服务期限及终止</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合同采购量3000吨，合同期内，如出现因供方原因造成液氧断货或质量问题，院方有权终止合同。</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▲（七）、合同交接方案</w:t>
            </w:r>
          </w:p>
          <w:p>
            <w:pPr>
              <w:keepNext w:val="0"/>
              <w:keepLines w:val="0"/>
              <w:pageBreakBefore w:val="0"/>
              <w:widowControl w:val="0"/>
              <w:numPr>
                <w:ilvl w:val="0"/>
                <w:numId w:val="0"/>
              </w:numPr>
              <w:kinsoku/>
              <w:wordWrap/>
              <w:overflowPunct/>
              <w:topLinePunct w:val="0"/>
              <w:autoSpaceDE/>
              <w:autoSpaceDN/>
              <w:bidi w:val="0"/>
              <w:spacing w:after="0" w:line="24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供应商必须制定服务过渡交接方案，保证与原提供服务的公司就本项目的所有工作内容无缝对接。</w:t>
            </w:r>
          </w:p>
        </w:tc>
      </w:tr>
    </w:tbl>
    <w:p>
      <w:pPr>
        <w:widowControl w:val="0"/>
        <w:spacing w:after="0"/>
        <w:jc w:val="both"/>
        <w:rPr>
          <w:rFonts w:ascii="Calibri" w:hAnsi="Calibri" w:cs="宋体"/>
          <w:kern w:val="2"/>
          <w:sz w:val="21"/>
        </w:rPr>
      </w:pPr>
    </w:p>
    <w:p/>
    <w:sectPr>
      <w:pgSz w:w="11906" w:h="16838"/>
      <w:pgMar w:top="1440" w:right="1526"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YmVmMzFkN2JjNWYwZDAxMGRlODk2N2ZjNjdjNjQifQ=="/>
  </w:docVars>
  <w:rsids>
    <w:rsidRoot w:val="2FE94059"/>
    <w:rsid w:val="23AD6A42"/>
    <w:rsid w:val="2FE9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
    <w:basedOn w:val="1"/>
    <w:uiPriority w:val="0"/>
    <w:pPr>
      <w:adjustRightInd/>
      <w:snapToGrid/>
      <w:spacing w:before="100" w:beforeAutospacing="1" w:after="100" w:afterAutospacing="1"/>
    </w:pPr>
    <w:rPr>
      <w:rFonts w:ascii="宋体" w:hAnsi="宋体" w:cs="宋体"/>
      <w:sz w:val="24"/>
      <w:szCs w:val="24"/>
    </w:rPr>
  </w:style>
  <w:style w:type="character" w:customStyle="1" w:styleId="5">
    <w:name w:val="15"/>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1187</Words>
  <Characters>1377</Characters>
  <Lines>0</Lines>
  <Paragraphs>0</Paragraphs>
  <TotalTime>0</TotalTime>
  <ScaleCrop>false</ScaleCrop>
  <LinksUpToDate>false</LinksUpToDate>
  <CharactersWithSpaces>1442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2024-07-18T01:34:00Z</dcterms:created>
  <dc:creator>Administrator</dc:creator>
  <cp:lastModifiedBy>Administrator</cp:lastModifiedBy>
  <dcterms:modified xsi:type="dcterms:W3CDTF">2024-07-24T03:13:36Z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68A35626E62A47CC939FBD3D67165EA8_11</vt:lpwstr>
  </property>
</Properties>
</file>