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28"/>
          <w:szCs w:val="28"/>
          <w:lang w:val="en-US" w:eastAsia="zh-CN"/>
        </w:rPr>
      </w:pPr>
      <w:r>
        <w:rPr>
          <w:rFonts w:hint="eastAsia"/>
          <w:b/>
          <w:bCs/>
          <w:sz w:val="28"/>
          <w:szCs w:val="28"/>
          <w:lang w:val="en-US" w:eastAsia="zh-CN"/>
        </w:rPr>
        <w:t>附件1：</w:t>
      </w:r>
    </w:p>
    <w:p>
      <w:pPr>
        <w:jc w:val="center"/>
        <w:rPr>
          <w:rFonts w:hint="eastAsia"/>
          <w:b/>
          <w:bCs/>
          <w:sz w:val="28"/>
          <w:szCs w:val="28"/>
          <w:lang w:val="en-US" w:eastAsia="zh-CN"/>
        </w:rPr>
      </w:pPr>
      <w:r>
        <w:rPr>
          <w:rFonts w:hint="eastAsia"/>
          <w:b/>
          <w:bCs/>
          <w:sz w:val="28"/>
          <w:szCs w:val="28"/>
          <w:lang w:val="en-US" w:eastAsia="zh-CN"/>
        </w:rPr>
        <w:t>采购</w:t>
      </w:r>
      <w:r>
        <w:rPr>
          <w:rFonts w:hint="eastAsia"/>
          <w:b/>
          <w:bCs/>
          <w:sz w:val="28"/>
          <w:szCs w:val="28"/>
        </w:rPr>
        <w:t>分布式存储扩容及CDP扩容</w:t>
      </w:r>
      <w:r>
        <w:rPr>
          <w:rFonts w:hint="eastAsia"/>
          <w:b/>
          <w:bCs/>
          <w:sz w:val="28"/>
          <w:szCs w:val="28"/>
          <w:lang w:val="en-US" w:eastAsia="zh-CN"/>
        </w:rPr>
        <w:t>参数清单及报价方案</w:t>
      </w:r>
    </w:p>
    <w:p>
      <w:pPr>
        <w:rPr>
          <w:rFonts w:hint="eastAsia"/>
          <w:b/>
          <w:bCs/>
          <w:sz w:val="28"/>
          <w:szCs w:val="28"/>
          <w:lang w:val="en-US" w:eastAsia="zh-CN"/>
        </w:rPr>
      </w:pPr>
      <w:r>
        <w:rPr>
          <w:rFonts w:hint="eastAsia"/>
          <w:b/>
          <w:bCs/>
          <w:sz w:val="28"/>
          <w:szCs w:val="28"/>
          <w:lang w:val="en-US" w:eastAsia="zh-CN"/>
        </w:rPr>
        <w:t>一、</w:t>
      </w:r>
      <w:r>
        <w:rPr>
          <w:rFonts w:hint="eastAsia"/>
          <w:b/>
          <w:bCs/>
          <w:sz w:val="28"/>
          <w:szCs w:val="28"/>
        </w:rPr>
        <w:t>分布式存储扩容及CDP扩容</w:t>
      </w:r>
      <w:r>
        <w:rPr>
          <w:rFonts w:hint="eastAsia"/>
          <w:b/>
          <w:bCs/>
          <w:sz w:val="28"/>
          <w:szCs w:val="28"/>
          <w:lang w:val="en-US" w:eastAsia="zh-CN"/>
        </w:rPr>
        <w:t>参数清单</w:t>
      </w:r>
    </w:p>
    <w:tbl>
      <w:tblPr>
        <w:tblStyle w:val="2"/>
        <w:tblpPr w:leftFromText="180" w:rightFromText="180" w:vertAnchor="text" w:horzAnchor="page" w:tblpX="876" w:tblpY="747"/>
        <w:tblOverlap w:val="never"/>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
        <w:gridCol w:w="1446"/>
        <w:gridCol w:w="585"/>
        <w:gridCol w:w="900"/>
        <w:gridCol w:w="11069"/>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364" w:type="dxa"/>
            <w:vAlign w:val="center"/>
          </w:tcPr>
          <w:p>
            <w:pPr>
              <w:spacing w:before="156" w:after="156" w:line="360" w:lineRule="auto"/>
              <w:ind w:firstLine="0" w:firstLineChars="0"/>
              <w:rPr>
                <w:sz w:val="24"/>
                <w:szCs w:val="24"/>
              </w:rPr>
            </w:pPr>
            <w:r>
              <w:rPr>
                <w:rFonts w:hint="eastAsia"/>
                <w:sz w:val="24"/>
                <w:szCs w:val="24"/>
              </w:rPr>
              <w:t>序号</w:t>
            </w:r>
          </w:p>
        </w:tc>
        <w:tc>
          <w:tcPr>
            <w:tcW w:w="1446" w:type="dxa"/>
            <w:vAlign w:val="center"/>
          </w:tcPr>
          <w:p>
            <w:pPr>
              <w:spacing w:before="156" w:after="156" w:line="360" w:lineRule="auto"/>
              <w:ind w:firstLine="0" w:firstLineChars="0"/>
              <w:rPr>
                <w:rFonts w:hint="eastAsia" w:eastAsiaTheme="minorEastAsia"/>
                <w:sz w:val="24"/>
                <w:szCs w:val="24"/>
                <w:lang w:val="en-US" w:eastAsia="zh-CN"/>
              </w:rPr>
            </w:pPr>
            <w:r>
              <w:rPr>
                <w:rFonts w:hint="eastAsia"/>
                <w:sz w:val="24"/>
                <w:szCs w:val="24"/>
              </w:rPr>
              <w:t>设备</w:t>
            </w:r>
            <w:r>
              <w:rPr>
                <w:rFonts w:hint="eastAsia"/>
                <w:sz w:val="24"/>
                <w:szCs w:val="24"/>
                <w:lang w:val="en-US" w:eastAsia="zh-CN"/>
              </w:rPr>
              <w:t>名称</w:t>
            </w:r>
          </w:p>
        </w:tc>
        <w:tc>
          <w:tcPr>
            <w:tcW w:w="585" w:type="dxa"/>
            <w:vAlign w:val="center"/>
          </w:tcPr>
          <w:p>
            <w:pPr>
              <w:spacing w:before="156" w:after="156" w:line="360" w:lineRule="auto"/>
              <w:ind w:firstLine="0" w:firstLineChars="0"/>
              <w:rPr>
                <w:sz w:val="24"/>
                <w:szCs w:val="24"/>
              </w:rPr>
            </w:pPr>
            <w:r>
              <w:rPr>
                <w:rFonts w:hint="eastAsia"/>
                <w:sz w:val="24"/>
                <w:szCs w:val="24"/>
              </w:rPr>
              <w:t>数量</w:t>
            </w:r>
          </w:p>
        </w:tc>
        <w:tc>
          <w:tcPr>
            <w:tcW w:w="900" w:type="dxa"/>
            <w:vAlign w:val="center"/>
          </w:tcPr>
          <w:p>
            <w:pPr>
              <w:spacing w:before="156" w:after="156" w:line="360" w:lineRule="auto"/>
              <w:ind w:firstLine="0" w:firstLineChars="0"/>
              <w:jc w:val="center"/>
              <w:rPr>
                <w:rFonts w:hint="eastAsia" w:eastAsiaTheme="minorEastAsia"/>
                <w:sz w:val="24"/>
                <w:szCs w:val="24"/>
                <w:lang w:val="en-US" w:eastAsia="zh-CN"/>
              </w:rPr>
            </w:pPr>
            <w:r>
              <w:rPr>
                <w:rFonts w:hint="eastAsia"/>
                <w:sz w:val="24"/>
                <w:szCs w:val="24"/>
                <w:lang w:val="en-US" w:eastAsia="zh-CN"/>
              </w:rPr>
              <w:t>单位</w:t>
            </w:r>
          </w:p>
        </w:tc>
        <w:tc>
          <w:tcPr>
            <w:tcW w:w="11069" w:type="dxa"/>
            <w:vAlign w:val="center"/>
          </w:tcPr>
          <w:p>
            <w:pPr>
              <w:spacing w:before="156" w:after="156" w:line="360" w:lineRule="auto"/>
              <w:ind w:firstLine="0" w:firstLineChars="0"/>
              <w:jc w:val="center"/>
              <w:rPr>
                <w:rFonts w:hint="eastAsia" w:eastAsiaTheme="minorEastAsia"/>
                <w:sz w:val="24"/>
                <w:szCs w:val="24"/>
                <w:lang w:eastAsia="zh-CN"/>
              </w:rPr>
            </w:pPr>
            <w:r>
              <w:rPr>
                <w:rFonts w:hint="eastAsia"/>
                <w:sz w:val="24"/>
                <w:szCs w:val="24"/>
              </w:rPr>
              <w:t>主要技术</w:t>
            </w:r>
            <w:r>
              <w:rPr>
                <w:rFonts w:hint="eastAsia"/>
                <w:sz w:val="24"/>
                <w:szCs w:val="24"/>
                <w:lang w:val="en-US" w:eastAsia="zh-CN"/>
              </w:rPr>
              <w:t>参数</w:t>
            </w:r>
          </w:p>
        </w:tc>
        <w:tc>
          <w:tcPr>
            <w:tcW w:w="906" w:type="dxa"/>
            <w:vAlign w:val="center"/>
          </w:tcPr>
          <w:p>
            <w:pPr>
              <w:spacing w:before="156" w:after="156" w:line="360" w:lineRule="auto"/>
              <w:ind w:firstLine="0" w:firstLineChars="0"/>
              <w:jc w:val="center"/>
              <w:rPr>
                <w:rFonts w:hint="default"/>
                <w:sz w:val="24"/>
                <w:szCs w:val="24"/>
                <w:lang w:val="en-US" w:eastAsia="zh-CN"/>
              </w:rPr>
            </w:pPr>
            <w:r>
              <w:rPr>
                <w:rFonts w:hint="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64" w:type="dxa"/>
            <w:vAlign w:val="center"/>
          </w:tcPr>
          <w:p>
            <w:pPr>
              <w:spacing w:before="156" w:after="156" w:line="360" w:lineRule="auto"/>
              <w:ind w:firstLine="0" w:firstLineChars="0"/>
              <w:rPr>
                <w:rFonts w:ascii="宋体" w:hAnsi="宋体" w:eastAsia="宋体"/>
                <w:sz w:val="24"/>
                <w:szCs w:val="24"/>
              </w:rPr>
            </w:pPr>
            <w:r>
              <w:rPr>
                <w:rFonts w:hint="eastAsia" w:ascii="宋体" w:hAnsi="宋体" w:eastAsia="宋体"/>
                <w:sz w:val="24"/>
                <w:szCs w:val="24"/>
              </w:rPr>
              <w:t>1</w:t>
            </w:r>
          </w:p>
        </w:tc>
        <w:tc>
          <w:tcPr>
            <w:tcW w:w="1446" w:type="dxa"/>
            <w:vAlign w:val="center"/>
          </w:tcPr>
          <w:p>
            <w:pPr>
              <w:spacing w:before="156" w:after="156" w:line="360" w:lineRule="auto"/>
              <w:ind w:firstLine="0" w:firstLineChars="0"/>
              <w:jc w:val="center"/>
              <w:rPr>
                <w:rFonts w:ascii="宋体" w:hAnsi="宋体" w:eastAsia="宋体"/>
                <w:sz w:val="24"/>
                <w:szCs w:val="24"/>
              </w:rPr>
            </w:pPr>
            <w:r>
              <w:rPr>
                <w:rFonts w:hint="eastAsia" w:ascii="宋体" w:hAnsi="宋体" w:eastAsia="宋体"/>
                <w:sz w:val="24"/>
                <w:szCs w:val="24"/>
              </w:rPr>
              <w:t>分布式存储系统扩容</w:t>
            </w:r>
          </w:p>
        </w:tc>
        <w:tc>
          <w:tcPr>
            <w:tcW w:w="585" w:type="dxa"/>
            <w:vAlign w:val="center"/>
          </w:tcPr>
          <w:p>
            <w:pPr>
              <w:widowControl/>
              <w:spacing w:before="0" w:beforeLines="0" w:after="0" w:afterLines="0" w:line="360" w:lineRule="auto"/>
              <w:ind w:firstLine="0" w:firstLineChars="0"/>
              <w:jc w:val="center"/>
              <w:rPr>
                <w:rFonts w:ascii="宋体" w:hAnsi="宋体"/>
                <w:sz w:val="24"/>
                <w:szCs w:val="24"/>
              </w:rPr>
            </w:pPr>
            <w:r>
              <w:rPr>
                <w:rFonts w:hint="eastAsia" w:ascii="宋体" w:hAnsi="宋体"/>
                <w:sz w:val="24"/>
                <w:szCs w:val="24"/>
              </w:rPr>
              <w:t>1</w:t>
            </w:r>
          </w:p>
        </w:tc>
        <w:tc>
          <w:tcPr>
            <w:tcW w:w="900" w:type="dxa"/>
            <w:vAlign w:val="center"/>
          </w:tcPr>
          <w:p>
            <w:pPr>
              <w:widowControl/>
              <w:spacing w:before="0" w:beforeLines="0" w:after="0" w:afterLines="0" w:line="360" w:lineRule="auto"/>
              <w:ind w:firstLine="0" w:firstLineChars="0"/>
              <w:jc w:val="left"/>
              <w:rPr>
                <w:rFonts w:hint="eastAsia" w:ascii="宋体" w:hAnsi="宋体"/>
                <w:b/>
                <w:sz w:val="24"/>
                <w:szCs w:val="24"/>
              </w:rPr>
            </w:pPr>
            <w:r>
              <w:rPr>
                <w:rFonts w:hint="eastAsia"/>
                <w:sz w:val="24"/>
                <w:szCs w:val="24"/>
              </w:rPr>
              <w:t>套</w:t>
            </w:r>
          </w:p>
        </w:tc>
        <w:tc>
          <w:tcPr>
            <w:tcW w:w="11069" w:type="dxa"/>
            <w:vAlign w:val="center"/>
          </w:tcPr>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1、采用分布式架构，存储节点采用多节点冗余设计，性能随节点数量线性增加。采用</w:t>
            </w:r>
            <w:r>
              <w:rPr>
                <w:rFonts w:hint="eastAsia" w:ascii="宋体" w:hAnsi="宋体"/>
                <w:sz w:val="24"/>
                <w:szCs w:val="24"/>
                <w:lang w:val="en-US" w:eastAsia="zh-CN"/>
              </w:rPr>
              <w:t>3</w:t>
            </w:r>
            <w:r>
              <w:rPr>
                <w:rFonts w:hint="eastAsia" w:ascii="宋体" w:hAnsi="宋体"/>
                <w:sz w:val="24"/>
                <w:szCs w:val="24"/>
              </w:rPr>
              <w:t>节点组成分布式存储集群，构建统一分布式存储管理资源池。单节点配置：2U机架式设备，配置2个Intel至强银牌12核心处理器，配置128GB ECC DDR4内存，系统盘配置2块240GB SSD硬盘，缓存盘配置2块1.92TB NVME SSD，数据盘配置12块16TB 企业级 SATA硬盘，配置2个1Gbps以太网主机接口，配置4个10Gb 以太网主机接口（光口）。</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2、支持独立式软件安装，在不安装任何额外管理平台情况下，实现单集群主机管理功能，集群管理节点可以在整个资源池中实现动态迁移和重新选择。管理平台不依赖于某一个虚拟机或者物理机，不存在节点故障导致整个统一管理平台无法访问。</w:t>
            </w:r>
          </w:p>
          <w:p>
            <w:pPr>
              <w:widowControl/>
              <w:spacing w:before="0" w:beforeLines="0" w:after="0" w:afterLines="0" w:line="360" w:lineRule="auto"/>
              <w:ind w:firstLine="0" w:firstLineChars="0"/>
              <w:jc w:val="left"/>
              <w:rPr>
                <w:rFonts w:hint="eastAsia" w:ascii="宋体" w:hAnsi="宋体"/>
                <w:b w:val="0"/>
                <w:bCs w:val="0"/>
                <w:color w:val="auto"/>
                <w:sz w:val="24"/>
                <w:szCs w:val="24"/>
              </w:rPr>
            </w:pPr>
            <w:r>
              <w:rPr>
                <w:rFonts w:hint="eastAsia" w:ascii="宋体" w:hAnsi="宋体"/>
                <w:b w:val="0"/>
                <w:bCs w:val="0"/>
                <w:color w:val="auto"/>
                <w:sz w:val="24"/>
                <w:szCs w:val="24"/>
              </w:rPr>
              <w:t>3、兼容原有软件定义存储管理系统，实现原有软件定义存储管理系统动态扩展，无需数据迁移及重建集群，即可自动将新增节点纳入集群中，并实现统一集群管理。支持在原存储系统不停机情况下，通过增加存储节点的方式实现业务不中断的容量和性能扩展。</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4、兼容不同型号、不同年代的服务器设备的混和使用，任何存储服务器和硬盘单点故障或者服务进程故障时，可以自动恢复成正常状态，不需要人工干预。</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5、提供多副本数据保护及纠删数据安全保护机制，可支持提供2-12个副本或提供N+M（N最大支持18个节点,M最大支持4个节点）纠删保护级别，支持将每一份数据分散地保存在分布式存储集群平台的不同节点上，任意单个主机或者磁盘故障，数据依旧正常访问。</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6、支持故障存储节点和硬盘的自动数据快速复原机制，降低集群存储系统失能的风险</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。7、支持单一节点内混合使用不同规格和容量的硬盘（PCI-E/SSD/SAS/SATA），提供基于存储节点内部策略的数据自动迁移，并且在进行数据迁移期间不会导致存储服务停止，可正常访问集群存储中所有数据。</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8、支持与AD域\LDAP\NIS结合管理方式，通过域权限管理存储系统共享数据的权限。</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、支持通过存储管理界面，提供基于卷的只读权限、读写权限等，并可以设定存储卷的相关生命周期管理。</w:t>
            </w:r>
          </w:p>
          <w:p>
            <w:pPr>
              <w:widowControl/>
              <w:spacing w:before="0" w:beforeLines="0" w:after="0" w:afterLines="0" w:line="360" w:lineRule="auto"/>
              <w:ind w:firstLine="0" w:firstLineChars="0"/>
              <w:jc w:val="left"/>
              <w:rPr>
                <w:rFonts w:hint="eastAsia" w:ascii="宋体" w:hAnsi="宋体"/>
                <w:b w:val="0"/>
                <w:bCs/>
                <w:sz w:val="24"/>
                <w:szCs w:val="24"/>
              </w:rPr>
            </w:pPr>
            <w:r>
              <w:rPr>
                <w:rFonts w:hint="eastAsia" w:ascii="宋体" w:hAnsi="宋体"/>
                <w:sz w:val="24"/>
                <w:szCs w:val="24"/>
                <w:lang w:val="en-US" w:eastAsia="zh-CN"/>
              </w:rPr>
              <w:t>10</w:t>
            </w:r>
            <w:r>
              <w:rPr>
                <w:rFonts w:hint="eastAsia" w:ascii="宋体" w:hAnsi="宋体"/>
                <w:sz w:val="24"/>
                <w:szCs w:val="24"/>
              </w:rPr>
              <w:t>、</w:t>
            </w:r>
            <w:r>
              <w:rPr>
                <w:rFonts w:hint="eastAsia" w:ascii="宋体" w:hAnsi="宋体"/>
                <w:b w:val="0"/>
                <w:bCs/>
                <w:sz w:val="24"/>
                <w:szCs w:val="24"/>
              </w:rPr>
              <w:t>提供原厂商三年硬件，一年软件质保服务。</w:t>
            </w:r>
          </w:p>
          <w:p>
            <w:pPr>
              <w:widowControl/>
              <w:spacing w:before="0" w:beforeLines="0" w:after="0" w:afterLines="0" w:line="360" w:lineRule="auto"/>
              <w:ind w:firstLine="0" w:firstLineChars="0"/>
              <w:jc w:val="left"/>
              <w:rPr>
                <w:rFonts w:hint="eastAsia" w:ascii="宋体" w:hAnsi="宋体"/>
                <w:sz w:val="24"/>
                <w:szCs w:val="24"/>
                <w:lang w:val="en-US" w:eastAsia="zh-CN"/>
              </w:rPr>
            </w:pPr>
            <w:r>
              <w:rPr>
                <w:rFonts w:hint="eastAsia" w:ascii="宋体" w:hAnsi="宋体"/>
                <w:sz w:val="24"/>
                <w:szCs w:val="24"/>
              </w:rPr>
              <w:t>1</w:t>
            </w:r>
            <w:r>
              <w:rPr>
                <w:rFonts w:hint="eastAsia" w:ascii="宋体" w:hAnsi="宋体"/>
                <w:sz w:val="24"/>
                <w:szCs w:val="24"/>
                <w:lang w:val="en-US" w:eastAsia="zh-CN"/>
              </w:rPr>
              <w:t>1</w:t>
            </w:r>
            <w:r>
              <w:rPr>
                <w:rFonts w:hint="eastAsia" w:ascii="宋体" w:hAnsi="宋体"/>
                <w:sz w:val="24"/>
                <w:szCs w:val="24"/>
              </w:rPr>
              <w:t>、</w:t>
            </w:r>
            <w:r>
              <w:rPr>
                <w:rFonts w:hint="eastAsia" w:ascii="宋体" w:hAnsi="宋体"/>
                <w:sz w:val="24"/>
                <w:szCs w:val="24"/>
                <w:lang w:val="en-US" w:eastAsia="zh-CN"/>
              </w:rPr>
              <w:t>技术服务：</w:t>
            </w:r>
            <w:r>
              <w:rPr>
                <w:rFonts w:hint="eastAsia" w:ascii="宋体" w:hAnsi="宋体"/>
                <w:sz w:val="24"/>
                <w:szCs w:val="24"/>
              </w:rPr>
              <w:t>设备安装及调试，包括设备上架、网络调试、新旧设备联网联调、优化部署及培训演练</w:t>
            </w:r>
            <w:r>
              <w:rPr>
                <w:rFonts w:hint="eastAsia" w:ascii="宋体" w:hAnsi="宋体"/>
                <w:sz w:val="24"/>
                <w:szCs w:val="24"/>
                <w:lang w:val="en-US" w:eastAsia="zh-CN"/>
              </w:rPr>
              <w:t>；</w:t>
            </w:r>
            <w:r>
              <w:rPr>
                <w:rFonts w:hint="eastAsia" w:ascii="宋体" w:hAnsi="宋体"/>
                <w:sz w:val="24"/>
                <w:szCs w:val="24"/>
              </w:rPr>
              <w:t>虚拟化平台集成、分布式管理平台集成及各虚拟机业务系统与存储系统联调</w:t>
            </w:r>
            <w:r>
              <w:rPr>
                <w:rFonts w:hint="eastAsia" w:ascii="宋体" w:hAnsi="宋体"/>
                <w:sz w:val="24"/>
                <w:szCs w:val="24"/>
                <w:lang w:val="en-US" w:eastAsia="zh-CN"/>
              </w:rPr>
              <w:t>；</w:t>
            </w:r>
            <w:r>
              <w:rPr>
                <w:rFonts w:hint="eastAsia" w:ascii="宋体" w:hAnsi="宋体"/>
                <w:sz w:val="24"/>
                <w:szCs w:val="24"/>
              </w:rPr>
              <w:t>分布式存储系统存储空间规划、存储容量分配及主机映射，要求原存储系统所涉及的业务系统不得中断</w:t>
            </w:r>
            <w:r>
              <w:rPr>
                <w:rFonts w:hint="eastAsia" w:ascii="宋体" w:hAnsi="宋体"/>
                <w:sz w:val="24"/>
                <w:szCs w:val="24"/>
                <w:lang w:val="en-US" w:eastAsia="zh-CN"/>
              </w:rPr>
              <w:t>；</w:t>
            </w:r>
            <w:r>
              <w:rPr>
                <w:rFonts w:hint="eastAsia" w:ascii="宋体" w:hAnsi="宋体"/>
                <w:sz w:val="24"/>
                <w:szCs w:val="24"/>
              </w:rPr>
              <w:t>原有PACS影像业务存储系统设备升级，包括空间扩展及容错方式升级改造，提高系统容错及数据安全等级，扩展过程中不影响PACS等业务系统的正常运行</w:t>
            </w:r>
            <w:r>
              <w:rPr>
                <w:rFonts w:hint="eastAsia" w:ascii="宋体" w:hAnsi="宋体"/>
                <w:sz w:val="24"/>
                <w:szCs w:val="24"/>
                <w:lang w:val="en-US" w:eastAsia="zh-CN"/>
              </w:rPr>
              <w:t>；</w:t>
            </w:r>
            <w:r>
              <w:rPr>
                <w:rFonts w:hint="eastAsia" w:ascii="宋体" w:hAnsi="宋体"/>
                <w:sz w:val="24"/>
                <w:szCs w:val="24"/>
              </w:rPr>
              <w:t>双活存储容量扩展，包含存储双活系统联调以及在线扩容原有存储双活磁盘卷，不影响医院核心业务系统正常运行</w:t>
            </w:r>
            <w:r>
              <w:rPr>
                <w:rFonts w:hint="eastAsia" w:ascii="宋体" w:hAnsi="宋体"/>
                <w:sz w:val="24"/>
                <w:szCs w:val="24"/>
                <w:lang w:val="en-US" w:eastAsia="zh-CN"/>
              </w:rPr>
              <w:t>；</w:t>
            </w:r>
          </w:p>
          <w:p>
            <w:pPr>
              <w:widowControl/>
              <w:spacing w:before="0" w:beforeLines="0" w:after="0" w:afterLines="0" w:line="360" w:lineRule="auto"/>
              <w:ind w:firstLine="0" w:firstLineChars="0"/>
              <w:jc w:val="left"/>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、报价包括但不限于所联接及联调的服务器、网络设备、存储设备、虚拟化平台等设备及软件，而产生的原设备厂商技术配合费、第三方软件配合费等。供应商不得以任何理由要求采购人增加任何额外的费用。</w:t>
            </w:r>
          </w:p>
        </w:tc>
        <w:tc>
          <w:tcPr>
            <w:tcW w:w="906" w:type="dxa"/>
            <w:vAlign w:val="center"/>
          </w:tcPr>
          <w:p>
            <w:pPr>
              <w:spacing w:before="156" w:after="156" w:line="360" w:lineRule="auto"/>
              <w:ind w:firstLine="199" w:firstLineChars="8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64" w:type="dxa"/>
            <w:vAlign w:val="center"/>
          </w:tcPr>
          <w:p>
            <w:pPr>
              <w:spacing w:before="156" w:after="156" w:line="360" w:lineRule="auto"/>
              <w:ind w:firstLine="0" w:firstLineChars="0"/>
              <w:rPr>
                <w:rFonts w:hint="eastAsia" w:ascii="宋体" w:hAnsi="宋体" w:eastAsia="宋体"/>
                <w:sz w:val="24"/>
                <w:szCs w:val="24"/>
                <w:lang w:eastAsia="zh-CN"/>
              </w:rPr>
            </w:pPr>
            <w:r>
              <w:rPr>
                <w:rFonts w:hint="eastAsia" w:ascii="宋体" w:hAnsi="宋体" w:eastAsia="宋体"/>
                <w:sz w:val="24"/>
                <w:szCs w:val="24"/>
                <w:lang w:val="en-US" w:eastAsia="zh-CN"/>
              </w:rPr>
              <w:t>2</w:t>
            </w:r>
          </w:p>
        </w:tc>
        <w:tc>
          <w:tcPr>
            <w:tcW w:w="1446" w:type="dxa"/>
            <w:vAlign w:val="center"/>
          </w:tcPr>
          <w:p>
            <w:pPr>
              <w:spacing w:before="156" w:after="156" w:line="360" w:lineRule="auto"/>
              <w:ind w:firstLine="0" w:firstLineChars="0"/>
              <w:rPr>
                <w:rFonts w:ascii="宋体" w:hAnsi="宋体" w:eastAsia="宋体"/>
                <w:sz w:val="24"/>
                <w:szCs w:val="24"/>
              </w:rPr>
            </w:pPr>
            <w:r>
              <w:rPr>
                <w:rFonts w:hint="eastAsia" w:ascii="宋体" w:hAnsi="宋体" w:eastAsia="宋体"/>
                <w:sz w:val="24"/>
                <w:szCs w:val="24"/>
              </w:rPr>
              <w:t>C</w:t>
            </w:r>
            <w:r>
              <w:rPr>
                <w:rFonts w:ascii="宋体" w:hAnsi="宋体" w:eastAsia="宋体"/>
                <w:sz w:val="24"/>
                <w:szCs w:val="24"/>
              </w:rPr>
              <w:t>DP</w:t>
            </w:r>
            <w:r>
              <w:rPr>
                <w:rFonts w:hint="eastAsia" w:ascii="宋体" w:hAnsi="宋体" w:eastAsia="宋体"/>
                <w:sz w:val="24"/>
                <w:szCs w:val="24"/>
                <w:lang w:val="en-US" w:eastAsia="zh-CN"/>
              </w:rPr>
              <w:t>容灾系统</w:t>
            </w:r>
            <w:r>
              <w:rPr>
                <w:rFonts w:hint="eastAsia" w:ascii="宋体" w:hAnsi="宋体" w:eastAsia="宋体"/>
                <w:sz w:val="24"/>
                <w:szCs w:val="24"/>
              </w:rPr>
              <w:t>扩容</w:t>
            </w:r>
          </w:p>
        </w:tc>
        <w:tc>
          <w:tcPr>
            <w:tcW w:w="585" w:type="dxa"/>
            <w:vAlign w:val="center"/>
          </w:tcPr>
          <w:p>
            <w:pPr>
              <w:widowControl/>
              <w:spacing w:before="0" w:beforeLines="0" w:after="0" w:afterLines="0" w:line="360" w:lineRule="auto"/>
              <w:ind w:firstLine="0" w:firstLineChars="0"/>
              <w:jc w:val="center"/>
              <w:rPr>
                <w:rFonts w:ascii="宋体" w:hAnsi="宋体"/>
                <w:sz w:val="24"/>
                <w:szCs w:val="24"/>
              </w:rPr>
            </w:pPr>
            <w:r>
              <w:rPr>
                <w:rFonts w:hint="eastAsia" w:ascii="宋体" w:hAnsi="宋体"/>
                <w:sz w:val="24"/>
                <w:szCs w:val="24"/>
              </w:rPr>
              <w:t>1</w:t>
            </w:r>
          </w:p>
        </w:tc>
        <w:tc>
          <w:tcPr>
            <w:tcW w:w="900" w:type="dxa"/>
            <w:vAlign w:val="center"/>
          </w:tcPr>
          <w:p>
            <w:pPr>
              <w:pStyle w:val="4"/>
              <w:widowControl/>
              <w:numPr>
                <w:ilvl w:val="0"/>
                <w:numId w:val="0"/>
              </w:numPr>
              <w:spacing w:line="360" w:lineRule="auto"/>
              <w:ind w:leftChars="0"/>
              <w:jc w:val="left"/>
              <w:rPr>
                <w:rFonts w:hint="eastAsia" w:ascii="宋体" w:hAnsi="宋体" w:eastAsia="宋体"/>
                <w:sz w:val="24"/>
                <w:szCs w:val="24"/>
                <w:lang w:val="en-US" w:eastAsia="zh-CN"/>
              </w:rPr>
            </w:pPr>
            <w:r>
              <w:rPr>
                <w:rFonts w:hint="eastAsia" w:ascii="宋体" w:hAnsi="宋体"/>
                <w:sz w:val="24"/>
                <w:szCs w:val="24"/>
                <w:lang w:val="en-US" w:eastAsia="zh-CN"/>
              </w:rPr>
              <w:t>套</w:t>
            </w:r>
          </w:p>
        </w:tc>
        <w:tc>
          <w:tcPr>
            <w:tcW w:w="11069" w:type="dxa"/>
            <w:vAlign w:val="center"/>
          </w:tcPr>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1、扩容包：</w:t>
            </w:r>
            <w:r>
              <w:rPr>
                <w:rFonts w:hint="eastAsia" w:ascii="宋体" w:hAnsi="宋体"/>
                <w:sz w:val="24"/>
                <w:szCs w:val="24"/>
              </w:rPr>
              <w:t>1</w:t>
            </w:r>
            <w:r>
              <w:rPr>
                <w:rFonts w:ascii="宋体" w:hAnsi="宋体"/>
                <w:sz w:val="24"/>
                <w:szCs w:val="24"/>
              </w:rPr>
              <w:t>0</w:t>
            </w:r>
            <w:r>
              <w:rPr>
                <w:rFonts w:hint="eastAsia" w:ascii="宋体" w:hAnsi="宋体"/>
                <w:sz w:val="24"/>
                <w:szCs w:val="24"/>
              </w:rPr>
              <w:t>块</w:t>
            </w:r>
            <w:r>
              <w:rPr>
                <w:rFonts w:ascii="宋体" w:hAnsi="宋体"/>
                <w:sz w:val="24"/>
                <w:szCs w:val="24"/>
              </w:rPr>
              <w:t>2.4</w:t>
            </w:r>
            <w:r>
              <w:rPr>
                <w:rFonts w:hint="eastAsia" w:ascii="宋体" w:hAnsi="宋体"/>
                <w:sz w:val="24"/>
                <w:szCs w:val="24"/>
              </w:rPr>
              <w:t>TB 企业级10000RPM 2.5寸 SAS硬盘</w:t>
            </w:r>
            <w:r>
              <w:rPr>
                <w:rFonts w:hint="eastAsia" w:ascii="宋体" w:hAnsi="宋体"/>
                <w:sz w:val="24"/>
                <w:szCs w:val="24"/>
                <w:lang w:eastAsia="zh-CN"/>
              </w:rPr>
              <w:t>，</w:t>
            </w:r>
            <w:r>
              <w:rPr>
                <w:rFonts w:hint="eastAsia" w:ascii="宋体" w:hAnsi="宋体"/>
                <w:color w:val="auto"/>
                <w:sz w:val="24"/>
                <w:szCs w:val="24"/>
              </w:rPr>
              <w:t>与现有CDP设备完全兼容。</w:t>
            </w:r>
            <w:r>
              <w:rPr>
                <w:rFonts w:hint="eastAsia" w:ascii="宋体" w:hAnsi="宋体"/>
                <w:sz w:val="24"/>
                <w:szCs w:val="24"/>
              </w:rPr>
              <w:t>扩容配置无限个Window/Linux整机实时块级保护授权许可及接管许可；含实时数据保护功能模块，提供1</w:t>
            </w:r>
            <w:r>
              <w:rPr>
                <w:rFonts w:ascii="宋体" w:hAnsi="宋体"/>
                <w:sz w:val="24"/>
                <w:szCs w:val="24"/>
              </w:rPr>
              <w:t>7</w:t>
            </w:r>
            <w:r>
              <w:rPr>
                <w:rFonts w:hint="eastAsia" w:ascii="宋体" w:hAnsi="宋体"/>
                <w:sz w:val="24"/>
                <w:szCs w:val="24"/>
              </w:rPr>
              <w:t>TB容灾保护容量授权许可。</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2、扩展包：</w:t>
            </w:r>
            <w:r>
              <w:rPr>
                <w:rFonts w:hint="eastAsia" w:ascii="宋体" w:hAnsi="宋体"/>
                <w:sz w:val="24"/>
                <w:szCs w:val="24"/>
              </w:rPr>
              <w:t>标准2U机架式一体化设备，配置 24个2.5寸热插拔硬盘插槽，配置</w:t>
            </w:r>
            <w:r>
              <w:rPr>
                <w:rFonts w:ascii="宋体" w:hAnsi="宋体"/>
                <w:sz w:val="24"/>
                <w:szCs w:val="24"/>
              </w:rPr>
              <w:t>2</w:t>
            </w:r>
            <w:r>
              <w:rPr>
                <w:rFonts w:hint="eastAsia" w:ascii="宋体" w:hAnsi="宋体"/>
                <w:sz w:val="24"/>
                <w:szCs w:val="24"/>
              </w:rPr>
              <w:t>个Intel 至强 银牌 1</w:t>
            </w:r>
            <w:r>
              <w:rPr>
                <w:rFonts w:ascii="宋体" w:hAnsi="宋体"/>
                <w:sz w:val="24"/>
                <w:szCs w:val="24"/>
              </w:rPr>
              <w:t>0</w:t>
            </w:r>
            <w:r>
              <w:rPr>
                <w:rFonts w:hint="eastAsia" w:ascii="宋体" w:hAnsi="宋体"/>
                <w:sz w:val="24"/>
                <w:szCs w:val="24"/>
              </w:rPr>
              <w:t>核心处理器，配置</w:t>
            </w:r>
            <w:r>
              <w:rPr>
                <w:rFonts w:ascii="宋体" w:hAnsi="宋体"/>
                <w:sz w:val="24"/>
                <w:szCs w:val="24"/>
              </w:rPr>
              <w:t>128</w:t>
            </w:r>
            <w:r>
              <w:rPr>
                <w:rFonts w:hint="eastAsia" w:ascii="宋体" w:hAnsi="宋体"/>
                <w:sz w:val="24"/>
                <w:szCs w:val="24"/>
              </w:rPr>
              <w:t>GB</w:t>
            </w:r>
            <w:r>
              <w:rPr>
                <w:rFonts w:ascii="宋体" w:hAnsi="宋体"/>
                <w:sz w:val="24"/>
                <w:szCs w:val="24"/>
              </w:rPr>
              <w:t xml:space="preserve"> ECC DDR4</w:t>
            </w:r>
            <w:r>
              <w:rPr>
                <w:rFonts w:hint="eastAsia" w:ascii="宋体" w:hAnsi="宋体"/>
                <w:sz w:val="24"/>
                <w:szCs w:val="24"/>
              </w:rPr>
              <w:t>内存 ，配置2块4</w:t>
            </w:r>
            <w:r>
              <w:rPr>
                <w:rFonts w:ascii="宋体" w:hAnsi="宋体"/>
                <w:sz w:val="24"/>
                <w:szCs w:val="24"/>
              </w:rPr>
              <w:t>8</w:t>
            </w:r>
            <w:r>
              <w:rPr>
                <w:rFonts w:hint="eastAsia" w:ascii="宋体" w:hAnsi="宋体"/>
                <w:sz w:val="24"/>
                <w:szCs w:val="24"/>
              </w:rPr>
              <w:t>0GB SSD企业级硬盘 (缓存加速模组及套件），配置</w:t>
            </w:r>
            <w:r>
              <w:rPr>
                <w:rFonts w:ascii="宋体" w:hAnsi="宋体"/>
                <w:sz w:val="24"/>
                <w:szCs w:val="24"/>
              </w:rPr>
              <w:t>12</w:t>
            </w:r>
            <w:r>
              <w:rPr>
                <w:rFonts w:hint="eastAsia" w:ascii="宋体" w:hAnsi="宋体"/>
                <w:sz w:val="24"/>
                <w:szCs w:val="24"/>
              </w:rPr>
              <w:t>块2.4TB 企业级 10000RPM 2.5寸 SAS硬盘，配置2个1Gbps iSCSI主机接口，配置2个 10Gbps iSCSI主机接口。</w:t>
            </w:r>
            <w:r>
              <w:rPr>
                <w:rFonts w:hint="eastAsia" w:ascii="宋体" w:hAnsi="宋体"/>
                <w:color w:val="auto"/>
                <w:sz w:val="24"/>
                <w:szCs w:val="24"/>
              </w:rPr>
              <w:t>与现有CDP设备完全兼容。</w:t>
            </w:r>
          </w:p>
          <w:p>
            <w:pPr>
              <w:pStyle w:val="4"/>
              <w:widowControl/>
              <w:numPr>
                <w:ilvl w:val="0"/>
                <w:numId w:val="0"/>
              </w:numPr>
              <w:spacing w:line="360" w:lineRule="auto"/>
              <w:ind w:leftChars="0"/>
              <w:jc w:val="left"/>
              <w:rPr>
                <w:rFonts w:ascii="宋体" w:hAnsi="宋体"/>
                <w:sz w:val="24"/>
                <w:szCs w:val="24"/>
              </w:rPr>
            </w:pPr>
            <w:r>
              <w:rPr>
                <w:rFonts w:hint="eastAsia" w:ascii="宋体" w:hAnsi="宋体"/>
                <w:color w:val="auto"/>
                <w:sz w:val="24"/>
                <w:szCs w:val="24"/>
                <w:lang w:val="en-US" w:eastAsia="zh-CN"/>
              </w:rPr>
              <w:t>3、</w:t>
            </w:r>
            <w:r>
              <w:rPr>
                <w:rFonts w:hint="eastAsia" w:ascii="宋体" w:hAnsi="宋体"/>
                <w:sz w:val="24"/>
                <w:szCs w:val="24"/>
              </w:rPr>
              <w:t>配置无限个Window/Linux整机实时块级保护授权许可及接管许可；含实时数据保护功能模块，提供</w:t>
            </w:r>
            <w:r>
              <w:rPr>
                <w:rFonts w:ascii="宋体" w:hAnsi="宋体"/>
                <w:sz w:val="24"/>
                <w:szCs w:val="24"/>
              </w:rPr>
              <w:t>2</w:t>
            </w:r>
            <w:r>
              <w:rPr>
                <w:rFonts w:hint="eastAsia" w:ascii="宋体" w:hAnsi="宋体"/>
                <w:sz w:val="24"/>
                <w:szCs w:val="24"/>
              </w:rPr>
              <w:t>0TB容灾保护容量授权许可；提供操作系统、应用程序和数据的一体化实时保护功能；含SSD缓存加速授权许可及顺序文件穿透许可，提供数据分层管理功能。</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系统软件基于Single Linux 操作系统，具备主动病毒防御功能；存储池采用非EXT、XFS等LINUX文件格式，无目录挂载结构，彻底杜绝篡改、底层拷贝、病毒感染可能。配置自动精简技术，支持资源的动态匹配及“欺骗”模式，最大化提升容灾系统的空间利用率，容灾系统主动嗅探并匹配前端应用系统的资源消耗。</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配置提供热区缓存功能，即读缓存/预读取功能，可将磁盘上频繁访问的区域重定位至高性能磁盘上，同时支持连续数据读取命令检测，可将访问数据提前移入高性能磁盘或其内存上，从而整体缩短数据读取及响应时间，提升在业务接管或容灾演练效率及性能。</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提供业务系统的操作系统(OS)、应用程序(APP)和数据(DATA)的一体化容灾保护功能，支持ORACLE RAC\MSCS\ROSE\LVS等常用高可用环境下的自动漂移追踪保护。</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提供数据块级别的连续数据保护机制,具备基于I/O的录像功能，任意I/O点均可无限次提取查看或启动业务系统，最小业务提取时间精度到微秒级，可以通过I/O界面识别每一笔交易数据，具备真正的CDP数据保护功能。</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提供基于X86架构平台及非X86架构平台保护，且要求在保护模拟30万条数据写入情况下对生产服务器CPU影响度≤1%，内存占用≤20M。</w:t>
            </w:r>
            <w:r>
              <w:rPr>
                <w:rFonts w:hint="eastAsia" w:ascii="宋体" w:hAnsi="宋体"/>
                <w:sz w:val="24"/>
                <w:szCs w:val="24"/>
                <w:lang w:val="en-US" w:eastAsia="zh-CN"/>
              </w:rPr>
              <w:t>10、</w:t>
            </w:r>
            <w:r>
              <w:rPr>
                <w:rFonts w:hint="eastAsia" w:ascii="宋体" w:hAnsi="宋体"/>
                <w:sz w:val="24"/>
                <w:szCs w:val="24"/>
              </w:rPr>
              <w:t>提供数据副本生命周期管理功能，针对不同时间段的备份副本可配置不同的保留策略。</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支持同时保护物理服务器业务、虚拟化平台业务、云平台业务的能力；可支持≥500个以上生产系统的一体化操作系统(OS)、数据(DATA)、应用(APP)的容灾保护。当被保护的多个生产系统故障时，容灾系统可根据业务系统重要程度，分批无缝快速接管故障系统。对于FC环境下的保护，配置FC SANBoot功能，可通过FC链路实现外部计算资源的接管能力。</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支持生产服务器在保护正常运行的情况下，对目标业务主机的多个历史数据状态副本挂载到本机或者其他物理主机上，并支持本机/其他主机针对该挂载副本进行读/写操作，在不影响数据保护正常运行的情况下，用于容灾演练、数据分析和测试、事故还原或事故预处理等用途。</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11、</w:t>
            </w:r>
            <w:r>
              <w:rPr>
                <w:rFonts w:hint="eastAsia" w:ascii="宋体" w:hAnsi="宋体"/>
                <w:sz w:val="24"/>
                <w:szCs w:val="24"/>
              </w:rPr>
              <w:t>提供原厂商三年硬件，一年软件质保服务。</w:t>
            </w:r>
          </w:p>
          <w:p>
            <w:pPr>
              <w:pStyle w:val="4"/>
              <w:widowControl/>
              <w:numPr>
                <w:ilvl w:val="0"/>
                <w:numId w:val="0"/>
              </w:numPr>
              <w:spacing w:line="360" w:lineRule="auto"/>
              <w:ind w:leftChars="0"/>
              <w:jc w:val="left"/>
              <w:rPr>
                <w:rFonts w:ascii="宋体" w:hAnsi="宋体"/>
                <w:sz w:val="24"/>
                <w:szCs w:val="24"/>
              </w:rPr>
            </w:pPr>
            <w:r>
              <w:rPr>
                <w:rFonts w:hint="eastAsia" w:ascii="宋体" w:hAnsi="宋体"/>
                <w:sz w:val="24"/>
                <w:szCs w:val="24"/>
                <w:lang w:val="en-US" w:eastAsia="zh-CN"/>
              </w:rPr>
              <w:t>12、技术服务：</w:t>
            </w:r>
            <w:r>
              <w:rPr>
                <w:rFonts w:hint="eastAsia" w:ascii="宋体" w:hAnsi="宋体"/>
                <w:sz w:val="24"/>
                <w:szCs w:val="24"/>
              </w:rPr>
              <w:t>提供设备安装及调试，包括设备上架、网络调试、新旧设备联网联调、优化部署及培训演练</w:t>
            </w:r>
            <w:r>
              <w:rPr>
                <w:rFonts w:hint="eastAsia" w:ascii="宋体" w:hAnsi="宋体"/>
                <w:sz w:val="24"/>
                <w:szCs w:val="24"/>
                <w:lang w:val="en-US" w:eastAsia="zh-CN"/>
              </w:rPr>
              <w:t>；</w:t>
            </w:r>
            <w:r>
              <w:rPr>
                <w:rFonts w:hint="eastAsia" w:ascii="宋体" w:hAnsi="宋体"/>
                <w:sz w:val="24"/>
                <w:szCs w:val="24"/>
              </w:rPr>
              <w:t>提供原有C</w:t>
            </w:r>
            <w:r>
              <w:rPr>
                <w:rFonts w:ascii="宋体" w:hAnsi="宋体"/>
                <w:sz w:val="24"/>
                <w:szCs w:val="24"/>
              </w:rPr>
              <w:t>DP</w:t>
            </w:r>
            <w:r>
              <w:rPr>
                <w:rFonts w:hint="eastAsia" w:ascii="宋体" w:hAnsi="宋体"/>
                <w:sz w:val="24"/>
                <w:szCs w:val="24"/>
              </w:rPr>
              <w:t>设备和新扩容C</w:t>
            </w:r>
            <w:r>
              <w:rPr>
                <w:rFonts w:ascii="宋体" w:hAnsi="宋体"/>
                <w:sz w:val="24"/>
                <w:szCs w:val="24"/>
              </w:rPr>
              <w:t>DP</w:t>
            </w:r>
            <w:r>
              <w:rPr>
                <w:rFonts w:hint="eastAsia" w:ascii="宋体" w:hAnsi="宋体"/>
                <w:sz w:val="24"/>
                <w:szCs w:val="24"/>
              </w:rPr>
              <w:t>设备之间的联调，包括对新业务系统的C</w:t>
            </w:r>
            <w:r>
              <w:rPr>
                <w:rFonts w:ascii="宋体" w:hAnsi="宋体"/>
                <w:sz w:val="24"/>
                <w:szCs w:val="24"/>
              </w:rPr>
              <w:t>DP</w:t>
            </w:r>
            <w:r>
              <w:rPr>
                <w:rFonts w:hint="eastAsia" w:ascii="宋体" w:hAnsi="宋体"/>
                <w:sz w:val="24"/>
                <w:szCs w:val="24"/>
              </w:rPr>
              <w:t>保护备份和原有C</w:t>
            </w:r>
            <w:r>
              <w:rPr>
                <w:rFonts w:ascii="宋体" w:hAnsi="宋体"/>
                <w:sz w:val="24"/>
                <w:szCs w:val="24"/>
              </w:rPr>
              <w:t>DP</w:t>
            </w:r>
            <w:r>
              <w:rPr>
                <w:rFonts w:hint="eastAsia" w:ascii="宋体" w:hAnsi="宋体"/>
                <w:sz w:val="24"/>
                <w:szCs w:val="24"/>
              </w:rPr>
              <w:t>设备的数据迁移等</w:t>
            </w:r>
            <w:r>
              <w:rPr>
                <w:rFonts w:hint="eastAsia" w:ascii="宋体" w:hAnsi="宋体"/>
                <w:sz w:val="24"/>
                <w:szCs w:val="24"/>
                <w:lang w:val="en-US" w:eastAsia="zh-CN"/>
              </w:rPr>
              <w:t>；</w:t>
            </w:r>
            <w:r>
              <w:rPr>
                <w:rFonts w:hint="eastAsia" w:ascii="宋体" w:hAnsi="宋体"/>
                <w:sz w:val="24"/>
                <w:szCs w:val="24"/>
              </w:rPr>
              <w:t>提供分布式存储系统数据安全机制设计调整、存储空间规划、存容量分配及主机映射，原存储系统业务系统不中断</w:t>
            </w:r>
            <w:r>
              <w:rPr>
                <w:rFonts w:hint="eastAsia" w:ascii="宋体" w:hAnsi="宋体"/>
                <w:sz w:val="24"/>
                <w:szCs w:val="24"/>
                <w:lang w:val="en-US" w:eastAsia="zh-CN"/>
              </w:rPr>
              <w:t>；</w:t>
            </w:r>
            <w:r>
              <w:rPr>
                <w:rFonts w:hint="eastAsia" w:ascii="宋体" w:hAnsi="宋体"/>
                <w:sz w:val="24"/>
                <w:szCs w:val="24"/>
              </w:rPr>
              <w:t>提供PACS影像业务存储空间扩展服务，扩展过程中不影响PACS业务系统</w:t>
            </w:r>
            <w:r>
              <w:rPr>
                <w:rFonts w:hint="eastAsia" w:ascii="宋体" w:hAnsi="宋体"/>
                <w:sz w:val="24"/>
                <w:szCs w:val="24"/>
                <w:lang w:val="en-US" w:eastAsia="zh-CN"/>
              </w:rPr>
              <w:t>；</w:t>
            </w:r>
            <w:r>
              <w:rPr>
                <w:rFonts w:hint="eastAsia" w:ascii="宋体" w:hAnsi="宋体"/>
                <w:sz w:val="24"/>
                <w:szCs w:val="24"/>
              </w:rPr>
              <w:t>提供分布式存储系统扩展、C</w:t>
            </w:r>
            <w:r>
              <w:rPr>
                <w:rFonts w:ascii="宋体" w:hAnsi="宋体"/>
                <w:sz w:val="24"/>
                <w:szCs w:val="24"/>
              </w:rPr>
              <w:t>DP</w:t>
            </w:r>
            <w:r>
              <w:rPr>
                <w:rFonts w:hint="eastAsia" w:ascii="宋体" w:hAnsi="宋体"/>
                <w:sz w:val="24"/>
                <w:szCs w:val="24"/>
              </w:rPr>
              <w:t>容灾系统扩容详细实施方案，包含存储数据安全机制规划设计、总体分布式存储空间规划、存储容量划分、分配及主机映射等。</w:t>
            </w:r>
          </w:p>
        </w:tc>
        <w:tc>
          <w:tcPr>
            <w:tcW w:w="906" w:type="dxa"/>
            <w:vAlign w:val="center"/>
          </w:tcPr>
          <w:p>
            <w:pPr>
              <w:spacing w:before="156" w:after="156" w:line="360" w:lineRule="auto"/>
              <w:ind w:firstLine="199" w:firstLineChars="83"/>
              <w:rPr>
                <w:rFonts w:hint="default" w:eastAsiaTheme="minorEastAsia"/>
                <w:sz w:val="24"/>
                <w:szCs w:val="24"/>
                <w:lang w:val="en-US" w:eastAsia="zh-CN"/>
              </w:rPr>
            </w:pPr>
          </w:p>
        </w:tc>
      </w:tr>
    </w:tbl>
    <w:p>
      <w:pPr>
        <w:rPr>
          <w:rFonts w:hint="eastAsia"/>
          <w:b/>
          <w:bCs/>
          <w:sz w:val="28"/>
          <w:szCs w:val="28"/>
          <w:lang w:val="en-US" w:eastAsia="zh-CN"/>
        </w:rPr>
      </w:pPr>
    </w:p>
    <w:p>
      <w:pPr>
        <w:rPr>
          <w:rFonts w:hint="eastAsia"/>
          <w:b/>
          <w:bCs/>
          <w:sz w:val="28"/>
          <w:szCs w:val="28"/>
          <w:lang w:val="en-US" w:eastAsia="zh-CN"/>
        </w:rPr>
      </w:pPr>
    </w:p>
    <w:p>
      <w:pPr>
        <w:rPr>
          <w:rFonts w:hint="eastAsia" w:eastAsiaTheme="minorEastAsia"/>
          <w:b/>
          <w:bCs/>
          <w:sz w:val="28"/>
          <w:szCs w:val="28"/>
          <w:lang w:val="en-US" w:eastAsia="zh-CN"/>
        </w:rPr>
      </w:pPr>
      <w:r>
        <w:rPr>
          <w:rFonts w:hint="eastAsia"/>
          <w:b/>
          <w:bCs/>
          <w:sz w:val="28"/>
          <w:szCs w:val="28"/>
          <w:lang w:val="en-US" w:eastAsia="zh-CN"/>
        </w:rPr>
        <w:t>二、报价要求</w:t>
      </w:r>
    </w:p>
    <w:p>
      <w:pPr>
        <w:rPr>
          <w:rFonts w:hint="eastAsia" w:ascii="宋体" w:hAnsi="宋体" w:eastAsia="宋体"/>
          <w:sz w:val="24"/>
          <w:szCs w:val="24"/>
          <w:lang w:val="en-US" w:eastAsia="zh-CN"/>
        </w:rPr>
      </w:pPr>
      <w:r>
        <w:rPr>
          <w:rFonts w:hint="eastAsia" w:ascii="宋体" w:hAnsi="宋体" w:eastAsia="宋体"/>
          <w:sz w:val="24"/>
          <w:szCs w:val="24"/>
          <w:lang w:val="en-US" w:eastAsia="zh-CN"/>
        </w:rPr>
        <w:t>1、此次采购</w:t>
      </w:r>
      <w:r>
        <w:rPr>
          <w:rFonts w:hint="eastAsia" w:ascii="宋体" w:hAnsi="宋体" w:eastAsia="宋体"/>
          <w:sz w:val="24"/>
          <w:szCs w:val="24"/>
        </w:rPr>
        <w:t>分布式存储系统扩容</w:t>
      </w:r>
      <w:r>
        <w:rPr>
          <w:rFonts w:hint="eastAsia" w:ascii="宋体" w:hAnsi="宋体" w:eastAsia="宋体"/>
          <w:sz w:val="24"/>
          <w:szCs w:val="24"/>
          <w:lang w:eastAsia="zh-CN"/>
        </w:rPr>
        <w:t>和</w:t>
      </w:r>
      <w:r>
        <w:rPr>
          <w:rFonts w:hint="eastAsia" w:ascii="宋体" w:hAnsi="宋体" w:eastAsia="宋体"/>
          <w:sz w:val="24"/>
          <w:szCs w:val="24"/>
        </w:rPr>
        <w:t>C</w:t>
      </w:r>
      <w:r>
        <w:rPr>
          <w:rFonts w:ascii="宋体" w:hAnsi="宋体" w:eastAsia="宋体"/>
          <w:sz w:val="24"/>
          <w:szCs w:val="24"/>
        </w:rPr>
        <w:t>DP</w:t>
      </w:r>
      <w:r>
        <w:rPr>
          <w:rFonts w:hint="eastAsia" w:ascii="宋体" w:hAnsi="宋体" w:eastAsia="宋体"/>
          <w:sz w:val="24"/>
          <w:szCs w:val="24"/>
          <w:lang w:val="en-US" w:eastAsia="zh-CN"/>
        </w:rPr>
        <w:t>容灾系统</w:t>
      </w:r>
      <w:r>
        <w:rPr>
          <w:rFonts w:hint="eastAsia" w:ascii="宋体" w:hAnsi="宋体" w:eastAsia="宋体"/>
          <w:sz w:val="24"/>
          <w:szCs w:val="24"/>
        </w:rPr>
        <w:t>扩容</w:t>
      </w:r>
      <w:r>
        <w:rPr>
          <w:rFonts w:hint="eastAsia" w:ascii="宋体" w:hAnsi="宋体" w:eastAsia="宋体"/>
          <w:sz w:val="24"/>
          <w:szCs w:val="24"/>
          <w:lang w:eastAsia="zh-CN"/>
        </w:rPr>
        <w:t>，要与医院</w:t>
      </w:r>
      <w:r>
        <w:rPr>
          <w:rFonts w:hint="eastAsia" w:ascii="宋体" w:hAnsi="宋体"/>
          <w:color w:val="auto"/>
          <w:sz w:val="24"/>
          <w:szCs w:val="24"/>
        </w:rPr>
        <w:t>现有</w:t>
      </w:r>
      <w:r>
        <w:rPr>
          <w:rFonts w:hint="eastAsia" w:ascii="宋体" w:hAnsi="宋体" w:eastAsia="宋体"/>
          <w:sz w:val="24"/>
          <w:szCs w:val="24"/>
        </w:rPr>
        <w:t>分布式存储系统</w:t>
      </w:r>
      <w:r>
        <w:rPr>
          <w:rFonts w:hint="eastAsia" w:ascii="宋体" w:hAnsi="宋体" w:eastAsia="宋体"/>
          <w:sz w:val="24"/>
          <w:szCs w:val="24"/>
          <w:lang w:eastAsia="zh-CN"/>
        </w:rPr>
        <w:t>和</w:t>
      </w:r>
      <w:r>
        <w:rPr>
          <w:rFonts w:hint="eastAsia" w:ascii="宋体" w:hAnsi="宋体" w:eastAsia="宋体"/>
          <w:sz w:val="24"/>
          <w:szCs w:val="24"/>
        </w:rPr>
        <w:t>C</w:t>
      </w:r>
      <w:r>
        <w:rPr>
          <w:rFonts w:ascii="宋体" w:hAnsi="宋体" w:eastAsia="宋体"/>
          <w:sz w:val="24"/>
          <w:szCs w:val="24"/>
        </w:rPr>
        <w:t>DP</w:t>
      </w:r>
      <w:r>
        <w:rPr>
          <w:rFonts w:hint="eastAsia" w:ascii="宋体" w:hAnsi="宋体" w:eastAsia="宋体"/>
          <w:sz w:val="24"/>
          <w:szCs w:val="24"/>
          <w:lang w:val="en-US" w:eastAsia="zh-CN"/>
        </w:rPr>
        <w:t>容灾系统</w:t>
      </w:r>
      <w:r>
        <w:rPr>
          <w:rFonts w:hint="eastAsia" w:ascii="宋体" w:hAnsi="宋体"/>
          <w:color w:val="auto"/>
          <w:sz w:val="24"/>
          <w:szCs w:val="24"/>
        </w:rPr>
        <w:t>完全兼容</w:t>
      </w:r>
      <w:r>
        <w:rPr>
          <w:rFonts w:hint="eastAsia" w:ascii="宋体" w:hAnsi="宋体" w:eastAsia="宋体"/>
          <w:sz w:val="24"/>
          <w:szCs w:val="24"/>
          <w:lang w:val="en-US" w:eastAsia="zh-CN"/>
        </w:rPr>
        <w:t>。</w:t>
      </w:r>
    </w:p>
    <w:p>
      <w:pPr>
        <w:rPr>
          <w:rFonts w:hint="default" w:ascii="宋体" w:hAnsi="宋体" w:eastAsia="宋体"/>
          <w:sz w:val="24"/>
          <w:szCs w:val="24"/>
          <w:lang w:val="en-US" w:eastAsia="zh-CN"/>
        </w:rPr>
      </w:pPr>
      <w:r>
        <w:rPr>
          <w:rFonts w:hint="eastAsia" w:ascii="宋体" w:hAnsi="宋体" w:eastAsia="宋体"/>
          <w:sz w:val="24"/>
          <w:szCs w:val="24"/>
          <w:lang w:val="en-US" w:eastAsia="zh-CN"/>
        </w:rPr>
        <w:t>2、本项目为交钥匙工程，从安装到双方验收合格，成交人不能提出增加任何费用。</w:t>
      </w:r>
    </w:p>
    <w:tbl>
      <w:tblPr>
        <w:tblStyle w:val="2"/>
        <w:tblpPr w:leftFromText="180" w:rightFromText="180" w:vertAnchor="text" w:horzAnchor="page" w:tblpX="2076" w:tblpY="225"/>
        <w:tblOverlap w:val="never"/>
        <w:tblW w:w="11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775"/>
        <w:gridCol w:w="1320"/>
        <w:gridCol w:w="930"/>
        <w:gridCol w:w="2040"/>
        <w:gridCol w:w="232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270" w:type="dxa"/>
            <w:vAlign w:val="center"/>
          </w:tcPr>
          <w:p>
            <w:pPr>
              <w:spacing w:before="156" w:after="156" w:line="360" w:lineRule="auto"/>
              <w:ind w:firstLine="0" w:firstLineChars="0"/>
              <w:rPr>
                <w:sz w:val="24"/>
                <w:szCs w:val="24"/>
              </w:rPr>
            </w:pPr>
            <w:r>
              <w:rPr>
                <w:rFonts w:hint="eastAsia"/>
                <w:sz w:val="24"/>
                <w:szCs w:val="24"/>
              </w:rPr>
              <w:t>序号</w:t>
            </w:r>
          </w:p>
        </w:tc>
        <w:tc>
          <w:tcPr>
            <w:tcW w:w="2775" w:type="dxa"/>
            <w:vAlign w:val="center"/>
          </w:tcPr>
          <w:p>
            <w:pPr>
              <w:spacing w:before="156" w:after="156" w:line="360" w:lineRule="auto"/>
              <w:ind w:firstLine="0" w:firstLineChars="0"/>
              <w:rPr>
                <w:rFonts w:hint="eastAsia" w:eastAsiaTheme="minorEastAsia"/>
                <w:sz w:val="24"/>
                <w:szCs w:val="24"/>
                <w:lang w:val="en-US" w:eastAsia="zh-CN"/>
              </w:rPr>
            </w:pPr>
            <w:r>
              <w:rPr>
                <w:rFonts w:hint="eastAsia"/>
                <w:sz w:val="24"/>
                <w:szCs w:val="24"/>
              </w:rPr>
              <w:t>设备</w:t>
            </w:r>
            <w:r>
              <w:rPr>
                <w:rFonts w:hint="eastAsia"/>
                <w:sz w:val="24"/>
                <w:szCs w:val="24"/>
                <w:lang w:val="en-US" w:eastAsia="zh-CN"/>
              </w:rPr>
              <w:t>名称</w:t>
            </w:r>
          </w:p>
        </w:tc>
        <w:tc>
          <w:tcPr>
            <w:tcW w:w="1320" w:type="dxa"/>
            <w:vAlign w:val="center"/>
          </w:tcPr>
          <w:p>
            <w:pPr>
              <w:spacing w:before="156" w:after="156" w:line="360" w:lineRule="auto"/>
              <w:ind w:firstLine="0" w:firstLineChars="0"/>
              <w:rPr>
                <w:sz w:val="24"/>
                <w:szCs w:val="24"/>
              </w:rPr>
            </w:pPr>
            <w:r>
              <w:rPr>
                <w:rFonts w:hint="eastAsia"/>
                <w:sz w:val="24"/>
                <w:szCs w:val="24"/>
              </w:rPr>
              <w:t>数量</w:t>
            </w:r>
          </w:p>
        </w:tc>
        <w:tc>
          <w:tcPr>
            <w:tcW w:w="930" w:type="dxa"/>
            <w:vAlign w:val="center"/>
          </w:tcPr>
          <w:p>
            <w:pPr>
              <w:spacing w:before="156" w:after="156" w:line="360" w:lineRule="auto"/>
              <w:ind w:firstLine="0" w:firstLineChars="0"/>
              <w:jc w:val="center"/>
              <w:rPr>
                <w:rFonts w:hint="eastAsia" w:eastAsiaTheme="minorEastAsia"/>
                <w:sz w:val="24"/>
                <w:szCs w:val="24"/>
                <w:lang w:val="en-US" w:eastAsia="zh-CN"/>
              </w:rPr>
            </w:pPr>
            <w:r>
              <w:rPr>
                <w:rFonts w:hint="eastAsia"/>
                <w:sz w:val="24"/>
                <w:szCs w:val="24"/>
                <w:lang w:val="en-US" w:eastAsia="zh-CN"/>
              </w:rPr>
              <w:t>单位</w:t>
            </w:r>
          </w:p>
        </w:tc>
        <w:tc>
          <w:tcPr>
            <w:tcW w:w="2040" w:type="dxa"/>
            <w:vAlign w:val="center"/>
          </w:tcPr>
          <w:p>
            <w:pPr>
              <w:spacing w:before="156" w:after="156" w:line="360" w:lineRule="auto"/>
              <w:ind w:firstLine="0" w:firstLineChars="0"/>
              <w:jc w:val="center"/>
              <w:rPr>
                <w:rFonts w:hint="eastAsia"/>
                <w:sz w:val="24"/>
                <w:szCs w:val="24"/>
                <w:lang w:val="en-US" w:eastAsia="zh-CN"/>
              </w:rPr>
            </w:pPr>
            <w:r>
              <w:rPr>
                <w:rFonts w:hint="eastAsia"/>
                <w:sz w:val="24"/>
                <w:szCs w:val="24"/>
                <w:lang w:val="en-US" w:eastAsia="zh-CN"/>
              </w:rPr>
              <w:t>单价</w:t>
            </w:r>
            <w:r>
              <w:rPr>
                <w:rFonts w:hint="eastAsia" w:ascii="宋体" w:hAnsi="宋体"/>
                <w:sz w:val="24"/>
                <w:szCs w:val="24"/>
                <w:u w:val="none"/>
                <w:lang w:val="en-US" w:eastAsia="zh-CN"/>
              </w:rPr>
              <w:t>（元）</w:t>
            </w:r>
          </w:p>
        </w:tc>
        <w:tc>
          <w:tcPr>
            <w:tcW w:w="2325" w:type="dxa"/>
            <w:vAlign w:val="center"/>
          </w:tcPr>
          <w:p>
            <w:pPr>
              <w:spacing w:before="156" w:after="156" w:line="360" w:lineRule="auto"/>
              <w:ind w:firstLine="0" w:firstLineChars="0"/>
              <w:jc w:val="center"/>
              <w:rPr>
                <w:rFonts w:hint="eastAsia"/>
                <w:sz w:val="24"/>
                <w:szCs w:val="24"/>
                <w:lang w:val="en-US" w:eastAsia="zh-CN"/>
              </w:rPr>
            </w:pPr>
            <w:r>
              <w:rPr>
                <w:rFonts w:hint="eastAsia"/>
                <w:sz w:val="24"/>
                <w:szCs w:val="24"/>
                <w:lang w:val="en-US" w:eastAsia="zh-CN"/>
              </w:rPr>
              <w:t>金额</w:t>
            </w:r>
            <w:r>
              <w:rPr>
                <w:rFonts w:hint="eastAsia" w:ascii="宋体" w:hAnsi="宋体"/>
                <w:sz w:val="24"/>
                <w:szCs w:val="24"/>
                <w:u w:val="none"/>
                <w:lang w:val="en-US" w:eastAsia="zh-CN"/>
              </w:rPr>
              <w:t>（元）</w:t>
            </w:r>
          </w:p>
        </w:tc>
        <w:tc>
          <w:tcPr>
            <w:tcW w:w="1260" w:type="dxa"/>
            <w:vAlign w:val="center"/>
          </w:tcPr>
          <w:p>
            <w:pPr>
              <w:spacing w:before="156" w:after="156" w:line="360" w:lineRule="auto"/>
              <w:ind w:firstLine="0" w:firstLineChars="0"/>
              <w:jc w:val="center"/>
              <w:rPr>
                <w:rFonts w:hint="eastAsia"/>
                <w:sz w:val="24"/>
                <w:szCs w:val="24"/>
                <w:lang w:val="en-US" w:eastAsia="zh-CN"/>
              </w:rPr>
            </w:pPr>
            <w:r>
              <w:rPr>
                <w:rFonts w:hint="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0" w:type="dxa"/>
            <w:vAlign w:val="center"/>
          </w:tcPr>
          <w:p>
            <w:pPr>
              <w:spacing w:before="156" w:after="156" w:line="360" w:lineRule="auto"/>
              <w:ind w:firstLine="0" w:firstLineChars="0"/>
              <w:rPr>
                <w:rFonts w:ascii="宋体" w:hAnsi="宋体" w:eastAsia="宋体"/>
                <w:sz w:val="24"/>
                <w:szCs w:val="24"/>
              </w:rPr>
            </w:pPr>
            <w:r>
              <w:rPr>
                <w:rFonts w:hint="eastAsia" w:ascii="宋体" w:hAnsi="宋体" w:eastAsia="宋体"/>
                <w:sz w:val="24"/>
                <w:szCs w:val="24"/>
              </w:rPr>
              <w:t>1</w:t>
            </w:r>
          </w:p>
        </w:tc>
        <w:tc>
          <w:tcPr>
            <w:tcW w:w="2775" w:type="dxa"/>
            <w:vAlign w:val="center"/>
          </w:tcPr>
          <w:p>
            <w:pPr>
              <w:spacing w:before="156" w:after="156" w:line="360" w:lineRule="auto"/>
              <w:ind w:firstLine="0" w:firstLineChars="0"/>
              <w:jc w:val="center"/>
              <w:rPr>
                <w:rFonts w:ascii="宋体" w:hAnsi="宋体" w:eastAsia="宋体"/>
                <w:sz w:val="24"/>
                <w:szCs w:val="24"/>
              </w:rPr>
            </w:pPr>
            <w:r>
              <w:rPr>
                <w:rFonts w:hint="eastAsia" w:ascii="宋体" w:hAnsi="宋体" w:eastAsia="宋体"/>
                <w:sz w:val="24"/>
                <w:szCs w:val="24"/>
              </w:rPr>
              <w:t>分布式存储系统扩容</w:t>
            </w:r>
          </w:p>
        </w:tc>
        <w:tc>
          <w:tcPr>
            <w:tcW w:w="1320" w:type="dxa"/>
            <w:vAlign w:val="center"/>
          </w:tcPr>
          <w:p>
            <w:pPr>
              <w:widowControl/>
              <w:spacing w:before="0" w:beforeLines="0" w:after="0" w:afterLines="0" w:line="360" w:lineRule="auto"/>
              <w:ind w:firstLine="0" w:firstLineChars="0"/>
              <w:jc w:val="center"/>
              <w:rPr>
                <w:rFonts w:ascii="宋体" w:hAnsi="宋体"/>
                <w:sz w:val="24"/>
                <w:szCs w:val="24"/>
              </w:rPr>
            </w:pPr>
            <w:r>
              <w:rPr>
                <w:rFonts w:hint="eastAsia" w:ascii="宋体" w:hAnsi="宋体"/>
                <w:sz w:val="24"/>
                <w:szCs w:val="24"/>
              </w:rPr>
              <w:t>1</w:t>
            </w:r>
          </w:p>
        </w:tc>
        <w:tc>
          <w:tcPr>
            <w:tcW w:w="930" w:type="dxa"/>
            <w:vAlign w:val="center"/>
          </w:tcPr>
          <w:p>
            <w:pPr>
              <w:widowControl/>
              <w:spacing w:before="0" w:beforeLines="0" w:after="0" w:afterLines="0" w:line="360" w:lineRule="auto"/>
              <w:ind w:firstLine="0" w:firstLineChars="0"/>
              <w:jc w:val="center"/>
              <w:rPr>
                <w:rFonts w:hint="eastAsia" w:ascii="宋体" w:hAnsi="宋体"/>
                <w:b/>
                <w:sz w:val="24"/>
                <w:szCs w:val="24"/>
              </w:rPr>
            </w:pPr>
            <w:r>
              <w:rPr>
                <w:rFonts w:hint="eastAsia"/>
                <w:sz w:val="24"/>
                <w:szCs w:val="24"/>
              </w:rPr>
              <w:t>套</w:t>
            </w:r>
          </w:p>
        </w:tc>
        <w:tc>
          <w:tcPr>
            <w:tcW w:w="2040" w:type="dxa"/>
            <w:vAlign w:val="center"/>
          </w:tcPr>
          <w:p>
            <w:pPr>
              <w:widowControl/>
              <w:spacing w:before="0" w:beforeLines="0" w:after="0" w:afterLines="0" w:line="360" w:lineRule="auto"/>
              <w:ind w:firstLine="0" w:firstLineChars="0"/>
              <w:jc w:val="left"/>
              <w:rPr>
                <w:rFonts w:hint="eastAsia"/>
                <w:sz w:val="24"/>
                <w:szCs w:val="24"/>
              </w:rPr>
            </w:pPr>
          </w:p>
        </w:tc>
        <w:tc>
          <w:tcPr>
            <w:tcW w:w="2325" w:type="dxa"/>
            <w:vAlign w:val="center"/>
          </w:tcPr>
          <w:p>
            <w:pPr>
              <w:widowControl/>
              <w:spacing w:before="0" w:beforeLines="0" w:after="0" w:afterLines="0" w:line="360" w:lineRule="auto"/>
              <w:ind w:firstLine="0" w:firstLineChars="0"/>
              <w:jc w:val="left"/>
              <w:rPr>
                <w:rFonts w:hint="eastAsia"/>
                <w:sz w:val="24"/>
                <w:szCs w:val="24"/>
              </w:rPr>
            </w:pPr>
          </w:p>
        </w:tc>
        <w:tc>
          <w:tcPr>
            <w:tcW w:w="1260" w:type="dxa"/>
            <w:vAlign w:val="center"/>
          </w:tcPr>
          <w:p>
            <w:pPr>
              <w:widowControl/>
              <w:spacing w:before="0" w:beforeLines="0" w:after="0" w:afterLines="0" w:line="360" w:lineRule="auto"/>
              <w:ind w:firstLine="0" w:firstLineChars="0"/>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70" w:type="dxa"/>
            <w:vAlign w:val="center"/>
          </w:tcPr>
          <w:p>
            <w:pPr>
              <w:spacing w:before="156" w:after="156" w:line="360" w:lineRule="auto"/>
              <w:ind w:firstLine="0" w:firstLineChars="0"/>
              <w:rPr>
                <w:rFonts w:hint="eastAsia" w:ascii="宋体" w:hAnsi="宋体" w:eastAsia="宋体"/>
                <w:sz w:val="24"/>
                <w:szCs w:val="24"/>
                <w:lang w:eastAsia="zh-CN"/>
              </w:rPr>
            </w:pPr>
            <w:r>
              <w:rPr>
                <w:rFonts w:hint="eastAsia" w:ascii="宋体" w:hAnsi="宋体" w:eastAsia="宋体"/>
                <w:sz w:val="24"/>
                <w:szCs w:val="24"/>
                <w:lang w:val="en-US" w:eastAsia="zh-CN"/>
              </w:rPr>
              <w:t>2</w:t>
            </w:r>
          </w:p>
        </w:tc>
        <w:tc>
          <w:tcPr>
            <w:tcW w:w="2775" w:type="dxa"/>
            <w:vAlign w:val="center"/>
          </w:tcPr>
          <w:p>
            <w:pPr>
              <w:spacing w:before="156" w:after="156" w:line="360" w:lineRule="auto"/>
              <w:ind w:firstLine="0" w:firstLineChars="0"/>
              <w:rPr>
                <w:rFonts w:ascii="宋体" w:hAnsi="宋体" w:eastAsia="宋体"/>
                <w:sz w:val="24"/>
                <w:szCs w:val="24"/>
              </w:rPr>
            </w:pPr>
            <w:r>
              <w:rPr>
                <w:rFonts w:hint="eastAsia" w:ascii="宋体" w:hAnsi="宋体" w:eastAsia="宋体"/>
                <w:sz w:val="24"/>
                <w:szCs w:val="24"/>
              </w:rPr>
              <w:t>C</w:t>
            </w:r>
            <w:r>
              <w:rPr>
                <w:rFonts w:ascii="宋体" w:hAnsi="宋体" w:eastAsia="宋体"/>
                <w:sz w:val="24"/>
                <w:szCs w:val="24"/>
              </w:rPr>
              <w:t>DP</w:t>
            </w:r>
            <w:r>
              <w:rPr>
                <w:rFonts w:hint="eastAsia" w:ascii="宋体" w:hAnsi="宋体" w:eastAsia="宋体"/>
                <w:sz w:val="24"/>
                <w:szCs w:val="24"/>
                <w:lang w:val="en-US" w:eastAsia="zh-CN"/>
              </w:rPr>
              <w:t>容灾系统</w:t>
            </w:r>
            <w:r>
              <w:rPr>
                <w:rFonts w:hint="eastAsia" w:ascii="宋体" w:hAnsi="宋体" w:eastAsia="宋体"/>
                <w:sz w:val="24"/>
                <w:szCs w:val="24"/>
              </w:rPr>
              <w:t>扩容</w:t>
            </w:r>
          </w:p>
        </w:tc>
        <w:tc>
          <w:tcPr>
            <w:tcW w:w="1320" w:type="dxa"/>
            <w:vAlign w:val="center"/>
          </w:tcPr>
          <w:p>
            <w:pPr>
              <w:widowControl/>
              <w:spacing w:before="0" w:beforeLines="0" w:after="0" w:afterLines="0" w:line="360" w:lineRule="auto"/>
              <w:ind w:firstLine="0" w:firstLineChars="0"/>
              <w:jc w:val="center"/>
              <w:rPr>
                <w:rFonts w:ascii="宋体" w:hAnsi="宋体"/>
                <w:sz w:val="24"/>
                <w:szCs w:val="24"/>
              </w:rPr>
            </w:pPr>
            <w:r>
              <w:rPr>
                <w:rFonts w:hint="eastAsia" w:ascii="宋体" w:hAnsi="宋体"/>
                <w:sz w:val="24"/>
                <w:szCs w:val="24"/>
              </w:rPr>
              <w:t>1</w:t>
            </w:r>
          </w:p>
        </w:tc>
        <w:tc>
          <w:tcPr>
            <w:tcW w:w="930" w:type="dxa"/>
            <w:vAlign w:val="center"/>
          </w:tcPr>
          <w:p>
            <w:pPr>
              <w:pStyle w:val="4"/>
              <w:widowControl/>
              <w:numPr>
                <w:ilvl w:val="0"/>
                <w:numId w:val="0"/>
              </w:numPr>
              <w:spacing w:line="360" w:lineRule="auto"/>
              <w:ind w:leftChars="0"/>
              <w:jc w:val="center"/>
              <w:rPr>
                <w:rFonts w:hint="eastAsia" w:ascii="宋体" w:hAnsi="宋体" w:eastAsia="宋体"/>
                <w:sz w:val="24"/>
                <w:szCs w:val="24"/>
                <w:lang w:val="en-US" w:eastAsia="zh-CN"/>
              </w:rPr>
            </w:pPr>
            <w:r>
              <w:rPr>
                <w:rFonts w:hint="eastAsia" w:ascii="宋体" w:hAnsi="宋体"/>
                <w:sz w:val="24"/>
                <w:szCs w:val="24"/>
                <w:lang w:val="en-US" w:eastAsia="zh-CN"/>
              </w:rPr>
              <w:t>套</w:t>
            </w:r>
          </w:p>
        </w:tc>
        <w:tc>
          <w:tcPr>
            <w:tcW w:w="2040" w:type="dxa"/>
            <w:vAlign w:val="center"/>
          </w:tcPr>
          <w:p>
            <w:pPr>
              <w:pStyle w:val="4"/>
              <w:widowControl/>
              <w:numPr>
                <w:ilvl w:val="0"/>
                <w:numId w:val="0"/>
              </w:numPr>
              <w:spacing w:line="360" w:lineRule="auto"/>
              <w:ind w:leftChars="0"/>
              <w:jc w:val="left"/>
              <w:rPr>
                <w:rFonts w:hint="eastAsia" w:ascii="宋体" w:hAnsi="宋体"/>
                <w:sz w:val="24"/>
                <w:szCs w:val="24"/>
                <w:lang w:val="en-US" w:eastAsia="zh-CN"/>
              </w:rPr>
            </w:pPr>
          </w:p>
        </w:tc>
        <w:tc>
          <w:tcPr>
            <w:tcW w:w="2325" w:type="dxa"/>
            <w:vAlign w:val="center"/>
          </w:tcPr>
          <w:p>
            <w:pPr>
              <w:pStyle w:val="4"/>
              <w:widowControl/>
              <w:numPr>
                <w:ilvl w:val="0"/>
                <w:numId w:val="0"/>
              </w:numPr>
              <w:spacing w:line="360" w:lineRule="auto"/>
              <w:ind w:leftChars="0"/>
              <w:jc w:val="left"/>
              <w:rPr>
                <w:rFonts w:hint="eastAsia" w:ascii="宋体" w:hAnsi="宋体"/>
                <w:sz w:val="24"/>
                <w:szCs w:val="24"/>
                <w:lang w:val="en-US" w:eastAsia="zh-CN"/>
              </w:rPr>
            </w:pPr>
          </w:p>
        </w:tc>
        <w:tc>
          <w:tcPr>
            <w:tcW w:w="1260" w:type="dxa"/>
            <w:vAlign w:val="center"/>
          </w:tcPr>
          <w:p>
            <w:pPr>
              <w:pStyle w:val="4"/>
              <w:widowControl/>
              <w:numPr>
                <w:ilvl w:val="0"/>
                <w:numId w:val="0"/>
              </w:numPr>
              <w:spacing w:line="360" w:lineRule="auto"/>
              <w:ind w:leftChars="0"/>
              <w:jc w:val="left"/>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70" w:type="dxa"/>
            <w:vAlign w:val="center"/>
          </w:tcPr>
          <w:p>
            <w:pPr>
              <w:spacing w:before="156" w:after="156" w:line="360" w:lineRule="auto"/>
              <w:ind w:firstLine="0"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3</w:t>
            </w:r>
          </w:p>
        </w:tc>
        <w:tc>
          <w:tcPr>
            <w:tcW w:w="2775" w:type="dxa"/>
            <w:vAlign w:val="center"/>
          </w:tcPr>
          <w:p>
            <w:pPr>
              <w:spacing w:before="156" w:after="156" w:line="360" w:lineRule="auto"/>
              <w:ind w:firstLine="0" w:firstLineChars="0"/>
              <w:jc w:val="center"/>
              <w:rPr>
                <w:rFonts w:hint="eastAsia" w:ascii="宋体" w:hAnsi="宋体" w:eastAsia="宋体"/>
                <w:sz w:val="24"/>
                <w:szCs w:val="24"/>
              </w:rPr>
            </w:pPr>
            <w:r>
              <w:rPr>
                <w:rFonts w:hint="eastAsia" w:ascii="宋体" w:hAnsi="宋体" w:eastAsia="宋体"/>
                <w:b/>
                <w:bCs/>
                <w:sz w:val="24"/>
                <w:szCs w:val="24"/>
                <w:lang w:val="en-US" w:eastAsia="zh-CN"/>
              </w:rPr>
              <w:t>金额合计</w:t>
            </w:r>
          </w:p>
        </w:tc>
        <w:tc>
          <w:tcPr>
            <w:tcW w:w="7875" w:type="dxa"/>
            <w:gridSpan w:val="5"/>
            <w:vAlign w:val="center"/>
          </w:tcPr>
          <w:p>
            <w:pPr>
              <w:pStyle w:val="4"/>
              <w:widowControl/>
              <w:numPr>
                <w:ilvl w:val="0"/>
                <w:numId w:val="0"/>
              </w:numPr>
              <w:spacing w:line="360" w:lineRule="auto"/>
              <w:ind w:leftChars="0"/>
              <w:jc w:val="left"/>
              <w:rPr>
                <w:rFonts w:hint="eastAsia" w:ascii="宋体" w:hAnsi="宋体"/>
                <w:sz w:val="24"/>
                <w:szCs w:val="24"/>
                <w:lang w:val="en-US" w:eastAsia="zh-CN"/>
              </w:rPr>
            </w:pPr>
          </w:p>
          <w:p>
            <w:pPr>
              <w:pStyle w:val="4"/>
              <w:widowControl/>
              <w:numPr>
                <w:ilvl w:val="0"/>
                <w:numId w:val="0"/>
              </w:numPr>
              <w:spacing w:line="360" w:lineRule="auto"/>
              <w:ind w:leftChars="0"/>
              <w:jc w:val="left"/>
              <w:rPr>
                <w:rFonts w:hint="eastAsia" w:ascii="宋体" w:hAnsi="宋体"/>
                <w:sz w:val="24"/>
                <w:szCs w:val="24"/>
                <w:lang w:val="en-US" w:eastAsia="zh-CN"/>
              </w:rPr>
            </w:pPr>
            <w:r>
              <w:rPr>
                <w:rFonts w:hint="eastAsia" w:ascii="宋体" w:hAnsi="宋体"/>
                <w:sz w:val="24"/>
                <w:szCs w:val="24"/>
                <w:lang w:val="en-US" w:eastAsia="zh-CN"/>
              </w:rPr>
              <w:t>￥：</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1920" w:type="dxa"/>
            <w:gridSpan w:val="7"/>
            <w:vAlign w:val="center"/>
          </w:tcPr>
          <w:p>
            <w:pPr>
              <w:pStyle w:val="4"/>
              <w:widowControl/>
              <w:numPr>
                <w:ilvl w:val="0"/>
                <w:numId w:val="0"/>
              </w:numPr>
              <w:spacing w:line="360" w:lineRule="auto"/>
              <w:ind w:leftChars="0"/>
              <w:jc w:val="left"/>
              <w:rPr>
                <w:rFonts w:hint="default" w:ascii="宋体" w:hAnsi="宋体"/>
                <w:sz w:val="24"/>
                <w:szCs w:val="24"/>
                <w:lang w:val="en-US" w:eastAsia="zh-CN"/>
              </w:rPr>
            </w:pPr>
            <w:r>
              <w:rPr>
                <w:rFonts w:hint="eastAsia"/>
                <w:b/>
                <w:bCs/>
                <w:sz w:val="24"/>
                <w:szCs w:val="32"/>
                <w:vertAlign w:val="baseline"/>
                <w:lang w:val="en-US" w:eastAsia="zh-CN"/>
              </w:rPr>
              <w:t>要求：1、盖章报价文件制成PDF及营业执照副本PDF一起发到收文QQ邮箱；2、同一邮箱或IP地址发出多份报价单，自认可低价单；3、此次报价仅用于市场调查。</w:t>
            </w:r>
          </w:p>
        </w:tc>
      </w:tr>
    </w:tbl>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default"/>
          <w:b/>
          <w:bCs/>
          <w:sz w:val="28"/>
          <w:szCs w:val="28"/>
          <w:u w:val="single"/>
          <w:lang w:val="en-US" w:eastAsia="zh-CN"/>
        </w:rPr>
      </w:pPr>
      <w:r>
        <w:rPr>
          <w:rFonts w:hint="eastAsia"/>
          <w:b/>
          <w:bCs/>
          <w:sz w:val="28"/>
          <w:szCs w:val="28"/>
          <w:lang w:val="en-US" w:eastAsia="zh-CN"/>
        </w:rPr>
        <w:t>报价单位（盖章）：</w:t>
      </w:r>
      <w:r>
        <w:rPr>
          <w:rFonts w:hint="eastAsia"/>
          <w:b/>
          <w:bCs/>
          <w:sz w:val="28"/>
          <w:szCs w:val="28"/>
          <w:u w:val="single"/>
          <w:lang w:val="en-US" w:eastAsia="zh-CN"/>
        </w:rPr>
        <w:t xml:space="preserve">                                                         </w:t>
      </w:r>
    </w:p>
    <w:p>
      <w:pPr>
        <w:rPr>
          <w:rFonts w:hint="eastAsia"/>
          <w:b/>
          <w:bCs/>
          <w:sz w:val="28"/>
          <w:szCs w:val="28"/>
          <w:lang w:val="en-US" w:eastAsia="zh-CN"/>
        </w:rPr>
      </w:pPr>
    </w:p>
    <w:p>
      <w:pPr>
        <w:rPr>
          <w:rFonts w:hint="default"/>
          <w:b/>
          <w:bCs/>
          <w:sz w:val="28"/>
          <w:szCs w:val="28"/>
          <w:u w:val="single"/>
          <w:lang w:val="en-US" w:eastAsia="zh-CN"/>
        </w:rPr>
      </w:pPr>
      <w:r>
        <w:rPr>
          <w:rFonts w:hint="eastAsia"/>
          <w:b/>
          <w:bCs/>
          <w:sz w:val="28"/>
          <w:szCs w:val="28"/>
          <w:lang w:val="en-US" w:eastAsia="zh-CN"/>
        </w:rPr>
        <w:t>报价联系人：</w:t>
      </w:r>
      <w:r>
        <w:rPr>
          <w:rFonts w:hint="eastAsia"/>
          <w:b/>
          <w:bCs/>
          <w:sz w:val="28"/>
          <w:szCs w:val="28"/>
          <w:u w:val="single"/>
          <w:lang w:val="en-US" w:eastAsia="zh-CN"/>
        </w:rPr>
        <w:t xml:space="preserve">                                                              </w:t>
      </w:r>
    </w:p>
    <w:p>
      <w:r>
        <w:rPr>
          <w:rFonts w:hint="eastAsia"/>
          <w:b/>
          <w:bCs/>
          <w:sz w:val="28"/>
          <w:szCs w:val="28"/>
          <w:lang w:val="en-US" w:eastAsia="zh-CN"/>
        </w:rPr>
        <w:t>报价期日：</w:t>
      </w:r>
      <w:r>
        <w:rPr>
          <w:rFonts w:hint="eastAsia"/>
          <w:b/>
          <w:bCs/>
          <w:sz w:val="28"/>
          <w:szCs w:val="28"/>
          <w:u w:val="single"/>
          <w:lang w:val="en-US" w:eastAsia="zh-CN"/>
        </w:rPr>
        <w:t xml:space="preserve">          </w:t>
      </w:r>
      <w:r>
        <w:rPr>
          <w:rFonts w:hint="eastAsia"/>
          <w:b/>
          <w:bCs/>
          <w:sz w:val="28"/>
          <w:szCs w:val="28"/>
          <w:lang w:val="en-US" w:eastAsia="zh-CN"/>
        </w:rPr>
        <w:t>年</w:t>
      </w:r>
      <w:r>
        <w:rPr>
          <w:rFonts w:hint="eastAsia"/>
          <w:b/>
          <w:bCs/>
          <w:sz w:val="28"/>
          <w:szCs w:val="28"/>
          <w:u w:val="single"/>
          <w:lang w:val="en-US" w:eastAsia="zh-CN"/>
        </w:rPr>
        <w:t xml:space="preserve">     </w:t>
      </w:r>
      <w:r>
        <w:rPr>
          <w:rFonts w:hint="eastAsia"/>
          <w:b/>
          <w:bCs/>
          <w:sz w:val="28"/>
          <w:szCs w:val="28"/>
          <w:lang w:val="en-US" w:eastAsia="zh-CN"/>
        </w:rPr>
        <w:t>月</w:t>
      </w:r>
      <w:r>
        <w:rPr>
          <w:rFonts w:hint="eastAsia"/>
          <w:b/>
          <w:bCs/>
          <w:sz w:val="28"/>
          <w:szCs w:val="28"/>
          <w:u w:val="single"/>
          <w:lang w:val="en-US" w:eastAsia="zh-CN"/>
        </w:rPr>
        <w:t xml:space="preserve">    </w:t>
      </w:r>
      <w:r>
        <w:rPr>
          <w:rFonts w:hint="eastAsia"/>
          <w:b/>
          <w:bCs/>
          <w:sz w:val="28"/>
          <w:szCs w:val="28"/>
          <w:lang w:val="en-US" w:eastAsia="zh-CN"/>
        </w:rPr>
        <w:t>日</w:t>
      </w:r>
    </w:p>
    <w:p>
      <w:bookmarkStart w:id="0" w:name="_GoBack"/>
      <w:bookmarkEnd w:id="0"/>
    </w:p>
    <w:sectPr>
      <w:pgSz w:w="16838" w:h="11906" w:orient="landscape"/>
      <w:pgMar w:top="760" w:right="1440" w:bottom="12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M2Y1YWE3ODZiZTVjMzJkNWMwNDI0ODU3NmE4YWEifQ=="/>
  </w:docVars>
  <w:rsids>
    <w:rsidRoot w:val="4CEA21B0"/>
    <w:rsid w:val="4CEA21B0"/>
    <w:rsid w:val="4D4D4DDF"/>
    <w:rsid w:val="63AC5DC5"/>
    <w:rsid w:val="6EEA2E5D"/>
    <w:rsid w:val="6F172337"/>
    <w:rsid w:val="735163A2"/>
    <w:rsid w:val="7A140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styleId="4">
    <w:name w:val="List Paragraph"/>
    <w:basedOn w:val="1"/>
    <w:qFormat/>
    <w:uiPriority w:val="34"/>
    <w:pPr>
      <w:spacing w:before="0" w:beforeLines="0" w:after="0" w:afterLines="0" w:line="240" w:lineRule="auto"/>
      <w:ind w:firstLine="420"/>
    </w:pPr>
    <w:rPr>
      <w:rFonts w:ascii="Calibri" w:hAnsi="Calibri" w:eastAsia="宋体" w:cs="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2024-03-21T03:44:00Z</dcterms:created>
  <dc:creator>蓝天白云</dc:creator>
  <cp:lastModifiedBy>蓝天白云</cp:lastModifiedBy>
  <dcterms:modified xsi:type="dcterms:W3CDTF">2024-03-25T02:22:41Z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A7EC0C7A29F94E228295870DE9FCC0DB_13</vt:lpwstr>
  </property>
</Properties>
</file>